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B4" w:rsidRPr="00EA5B16" w:rsidRDefault="004248DB">
      <w:pPr>
        <w:spacing w:beforeLines="50" w:before="156" w:afterLines="50" w:after="156" w:line="300" w:lineRule="auto"/>
        <w:rPr>
          <w:rFonts w:ascii="黑体" w:eastAsia="黑体" w:hAnsi="黑体" w:cs="Times New Roman"/>
          <w:sz w:val="32"/>
          <w:szCs w:val="32"/>
        </w:rPr>
      </w:pPr>
      <w:r w:rsidRPr="00EA5B16">
        <w:rPr>
          <w:rFonts w:ascii="黑体" w:eastAsia="黑体" w:hAnsi="黑体" w:cs="Times New Roman"/>
          <w:sz w:val="32"/>
          <w:szCs w:val="32"/>
        </w:rPr>
        <w:t>附件</w:t>
      </w:r>
      <w:r w:rsidRPr="00EA5B16">
        <w:rPr>
          <w:rFonts w:ascii="Times New Roman" w:eastAsia="黑体" w:hAnsi="Times New Roman" w:cs="Times New Roman"/>
          <w:sz w:val="32"/>
          <w:szCs w:val="32"/>
        </w:rPr>
        <w:t>1</w:t>
      </w:r>
    </w:p>
    <w:p w:rsidR="00D030B4" w:rsidRDefault="004248DB">
      <w:pPr>
        <w:spacing w:beforeLines="50" w:before="156" w:afterLines="50" w:after="156" w:line="30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化妆品中二甘醇的检验方法</w:t>
      </w:r>
      <w:r w:rsidR="004806EE">
        <w:rPr>
          <w:rFonts w:ascii="Times New Roman" w:eastAsia="黑体" w:hAnsi="Times New Roman" w:cs="Times New Roman" w:hint="eastAsia"/>
          <w:sz w:val="32"/>
          <w:szCs w:val="32"/>
        </w:rPr>
        <w:t>（征求意见稿）</w:t>
      </w:r>
    </w:p>
    <w:p w:rsidR="00D030B4" w:rsidRDefault="004248DB">
      <w:pPr>
        <w:spacing w:beforeLines="50" w:before="156" w:afterLines="50" w:after="156" w:line="300" w:lineRule="auto"/>
        <w:jc w:val="center"/>
        <w:rPr>
          <w:rFonts w:ascii="Times New Roman" w:eastAsia="宋体" w:hAnsi="Times New Roman" w:cs="Times New Roman"/>
          <w:szCs w:val="21"/>
        </w:rPr>
      </w:pPr>
      <w:r>
        <w:rPr>
          <w:rFonts w:ascii="Times New Roman" w:eastAsia="黑体" w:hAnsi="Times New Roman" w:cs="Times New Roman"/>
          <w:szCs w:val="21"/>
        </w:rPr>
        <w:t xml:space="preserve">Determination of </w:t>
      </w:r>
      <w:proofErr w:type="spellStart"/>
      <w:r>
        <w:rPr>
          <w:rFonts w:ascii="Times New Roman" w:eastAsia="黑体" w:hAnsi="Times New Roman" w:cs="Times New Roman"/>
          <w:szCs w:val="21"/>
        </w:rPr>
        <w:t>Diethylene</w:t>
      </w:r>
      <w:proofErr w:type="spellEnd"/>
      <w:r>
        <w:rPr>
          <w:rFonts w:ascii="Times New Roman" w:eastAsia="黑体" w:hAnsi="Times New Roman" w:cs="Times New Roman"/>
          <w:szCs w:val="21"/>
        </w:rPr>
        <w:t xml:space="preserve"> Glycol in Cosmetic</w:t>
      </w:r>
      <w:r>
        <w:rPr>
          <w:rFonts w:ascii="Times New Roman" w:eastAsia="宋体" w:hAnsi="Times New Roman" w:cs="Times New Roman"/>
          <w:szCs w:val="21"/>
        </w:rPr>
        <w:t>s</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1  </w:t>
      </w:r>
      <w:r>
        <w:rPr>
          <w:rFonts w:ascii="黑体" w:eastAsia="黑体" w:hAnsi="黑体" w:cs="Times New Roman"/>
          <w:bCs/>
          <w:color w:val="000000" w:themeColor="text1"/>
          <w:szCs w:val="21"/>
        </w:rPr>
        <w:t>范围</w:t>
      </w:r>
    </w:p>
    <w:p w:rsidR="00D030B4" w:rsidRPr="00EA5B16" w:rsidRDefault="004248DB">
      <w:pPr>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sidRPr="00EA5B16">
        <w:rPr>
          <w:rFonts w:ascii="Times New Roman" w:eastAsia="宋体" w:hAnsi="Times New Roman" w:cs="Times New Roman"/>
          <w:color w:val="000000" w:themeColor="text1"/>
          <w:szCs w:val="21"/>
        </w:rPr>
        <w:t>本方法规定了气相色谱</w:t>
      </w:r>
      <w:r w:rsidRPr="00EA5B16">
        <w:rPr>
          <w:rFonts w:ascii="Times New Roman" w:eastAsia="宋体" w:hAnsi="Times New Roman" w:cs="Times New Roman"/>
          <w:color w:val="000000" w:themeColor="text1"/>
          <w:szCs w:val="21"/>
        </w:rPr>
        <w:t>-</w:t>
      </w:r>
      <w:r w:rsidRPr="00EA5B16">
        <w:rPr>
          <w:rFonts w:ascii="Times New Roman" w:eastAsia="宋体" w:hAnsi="Times New Roman" w:cs="Times New Roman"/>
          <w:color w:val="000000" w:themeColor="text1"/>
          <w:szCs w:val="21"/>
        </w:rPr>
        <w:t>质谱</w:t>
      </w:r>
      <w:r w:rsidRPr="00EA5B16">
        <w:rPr>
          <w:rFonts w:ascii="Times New Roman" w:eastAsia="宋体" w:hAnsi="Times New Roman" w:cs="Times New Roman" w:hint="eastAsia"/>
          <w:color w:val="000000" w:themeColor="text1"/>
          <w:szCs w:val="21"/>
        </w:rPr>
        <w:t>联用</w:t>
      </w:r>
      <w:r w:rsidRPr="00EA5B16">
        <w:rPr>
          <w:rFonts w:ascii="Times New Roman" w:eastAsia="宋体" w:hAnsi="Times New Roman" w:cs="Times New Roman"/>
          <w:color w:val="000000" w:themeColor="text1"/>
          <w:szCs w:val="21"/>
        </w:rPr>
        <w:t>法测定化妆品中二甘醇的含量。</w:t>
      </w:r>
    </w:p>
    <w:p w:rsidR="00D030B4" w:rsidRDefault="004248DB">
      <w:pPr>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本方法适用于</w:t>
      </w:r>
      <w:r w:rsidRPr="00D2424F">
        <w:rPr>
          <w:rFonts w:ascii="Times New Roman" w:eastAsia="宋体" w:hAnsi="Times New Roman" w:cs="Times New Roman" w:hint="eastAsia"/>
          <w:szCs w:val="21"/>
        </w:rPr>
        <w:t>膏霜乳液类、液体（水、油）类、凝胶类、粉剂类、</w:t>
      </w:r>
      <w:proofErr w:type="gramStart"/>
      <w:r w:rsidRPr="00D2424F">
        <w:rPr>
          <w:rFonts w:ascii="Times New Roman" w:eastAsia="宋体" w:hAnsi="Times New Roman" w:cs="Times New Roman" w:hint="eastAsia"/>
          <w:szCs w:val="21"/>
        </w:rPr>
        <w:t>蜡基类</w:t>
      </w:r>
      <w:proofErr w:type="gramEnd"/>
      <w:r>
        <w:rPr>
          <w:rFonts w:ascii="Times New Roman" w:eastAsia="宋体" w:hAnsi="Times New Roman" w:cs="Times New Roman"/>
          <w:color w:val="000000" w:themeColor="text1"/>
          <w:szCs w:val="21"/>
        </w:rPr>
        <w:t>化妆品中二甘醇含量的测定。</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2  </w:t>
      </w:r>
      <w:r>
        <w:rPr>
          <w:rFonts w:ascii="Times New Roman" w:eastAsia="黑体" w:hAnsi="Times New Roman" w:cs="Times New Roman"/>
          <w:szCs w:val="21"/>
        </w:rPr>
        <w:t>方法提要</w:t>
      </w:r>
    </w:p>
    <w:p w:rsidR="00D030B4" w:rsidRDefault="004248DB">
      <w:pPr>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样品提取后，</w:t>
      </w:r>
      <w:r>
        <w:rPr>
          <w:rStyle w:val="markedcontent"/>
          <w:rFonts w:ascii="Times New Roman" w:eastAsia="宋体" w:hAnsi="Times New Roman" w:cs="Times New Roman" w:hint="eastAsia"/>
          <w:color w:val="000000" w:themeColor="text1"/>
          <w:szCs w:val="21"/>
        </w:rPr>
        <w:t>经气相色谱</w:t>
      </w:r>
      <w:r>
        <w:rPr>
          <w:rStyle w:val="markedcontent"/>
          <w:rFonts w:ascii="Times New Roman" w:eastAsia="宋体" w:hAnsi="Times New Roman" w:cs="Times New Roman" w:hint="eastAsia"/>
          <w:color w:val="000000" w:themeColor="text1"/>
          <w:szCs w:val="21"/>
        </w:rPr>
        <w:t>-</w:t>
      </w:r>
      <w:r>
        <w:rPr>
          <w:rStyle w:val="markedcontent"/>
          <w:rFonts w:ascii="Times New Roman" w:eastAsia="宋体" w:hAnsi="Times New Roman" w:cs="Times New Roman" w:hint="eastAsia"/>
          <w:color w:val="000000" w:themeColor="text1"/>
          <w:szCs w:val="21"/>
        </w:rPr>
        <w:t>质谱联用法测定</w:t>
      </w:r>
      <w:r>
        <w:rPr>
          <w:rStyle w:val="markedcontent"/>
          <w:rFonts w:ascii="Times New Roman" w:eastAsia="宋体" w:hAnsi="Times New Roman" w:cs="Times New Roman"/>
          <w:color w:val="000000" w:themeColor="text1"/>
          <w:szCs w:val="21"/>
        </w:rPr>
        <w:t>，根据保留时间和</w:t>
      </w:r>
      <w:r>
        <w:rPr>
          <w:rStyle w:val="markedcontent"/>
          <w:rFonts w:ascii="Times New Roman" w:eastAsia="宋体" w:hAnsi="Times New Roman" w:cs="Times New Roman" w:hint="eastAsia"/>
          <w:color w:val="000000" w:themeColor="text1"/>
          <w:szCs w:val="21"/>
        </w:rPr>
        <w:t>特征</w:t>
      </w:r>
      <w:r>
        <w:rPr>
          <w:rStyle w:val="markedcontent"/>
          <w:rFonts w:ascii="Times New Roman" w:eastAsia="宋体" w:hAnsi="Times New Roman" w:cs="Times New Roman"/>
          <w:color w:val="000000" w:themeColor="text1"/>
          <w:szCs w:val="21"/>
        </w:rPr>
        <w:t>离子</w:t>
      </w:r>
      <w:r>
        <w:rPr>
          <w:rStyle w:val="markedcontent"/>
          <w:rFonts w:ascii="Times New Roman" w:eastAsia="宋体" w:hAnsi="Times New Roman" w:cs="Times New Roman" w:hint="eastAsia"/>
          <w:color w:val="000000" w:themeColor="text1"/>
          <w:szCs w:val="21"/>
        </w:rPr>
        <w:t>的相对丰度比</w:t>
      </w:r>
      <w:r>
        <w:rPr>
          <w:rStyle w:val="markedcontent"/>
          <w:rFonts w:ascii="Times New Roman" w:eastAsia="宋体" w:hAnsi="Times New Roman" w:cs="Times New Roman"/>
          <w:color w:val="000000" w:themeColor="text1"/>
          <w:szCs w:val="21"/>
        </w:rPr>
        <w:t>定性，定量离子对</w:t>
      </w:r>
      <w:r>
        <w:rPr>
          <w:rStyle w:val="markedcontent"/>
          <w:rFonts w:ascii="Times New Roman" w:eastAsia="宋体" w:hAnsi="Times New Roman" w:cs="Times New Roman" w:hint="eastAsia"/>
          <w:color w:val="000000" w:themeColor="text1"/>
          <w:szCs w:val="21"/>
        </w:rPr>
        <w:t>同位素</w:t>
      </w:r>
      <w:r>
        <w:rPr>
          <w:rFonts w:ascii="Times New Roman" w:eastAsia="宋体" w:hAnsi="Times New Roman" w:cs="Times New Roman"/>
          <w:color w:val="000000" w:themeColor="text1"/>
          <w:szCs w:val="21"/>
        </w:rPr>
        <w:t>内标法</w:t>
      </w:r>
      <w:r>
        <w:rPr>
          <w:rStyle w:val="markedcontent"/>
          <w:rFonts w:ascii="Times New Roman" w:eastAsia="宋体" w:hAnsi="Times New Roman" w:cs="Times New Roman"/>
          <w:color w:val="000000" w:themeColor="text1"/>
          <w:szCs w:val="21"/>
        </w:rPr>
        <w:t>定量，以标准曲线法计算含量。</w:t>
      </w:r>
    </w:p>
    <w:p w:rsidR="00D030B4" w:rsidRDefault="004248DB">
      <w:pPr>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本方法二甘醇的检出限为</w:t>
      </w:r>
      <w:r>
        <w:rPr>
          <w:rFonts w:ascii="Times New Roman" w:eastAsia="宋体" w:hAnsi="Times New Roman" w:cs="Times New Roman" w:hint="eastAsia"/>
          <w:color w:val="000000" w:themeColor="text1"/>
          <w:szCs w:val="21"/>
        </w:rPr>
        <w:t xml:space="preserve">0.3 </w:t>
      </w:r>
      <w:proofErr w:type="spellStart"/>
      <w:r>
        <w:rPr>
          <w:rFonts w:ascii="Times New Roman" w:eastAsia="宋体" w:hAnsi="Times New Roman" w:cs="Times New Roman" w:hint="eastAsia"/>
          <w:color w:val="000000" w:themeColor="text1"/>
          <w:szCs w:val="21"/>
        </w:rPr>
        <w:t>ng</w:t>
      </w:r>
      <w:proofErr w:type="spellEnd"/>
      <w:r>
        <w:rPr>
          <w:rFonts w:ascii="Times New Roman" w:eastAsia="宋体" w:hAnsi="Times New Roman" w:cs="Times New Roman" w:hint="eastAsia"/>
          <w:color w:val="000000" w:themeColor="text1"/>
          <w:szCs w:val="21"/>
        </w:rPr>
        <w:t>，定量下限为</w:t>
      </w:r>
      <w:r>
        <w:rPr>
          <w:rFonts w:ascii="Times New Roman" w:eastAsia="宋体" w:hAnsi="Times New Roman" w:cs="Times New Roman" w:hint="eastAsia"/>
          <w:color w:val="000000" w:themeColor="text1"/>
          <w:szCs w:val="21"/>
        </w:rPr>
        <w:t xml:space="preserve">1 </w:t>
      </w:r>
      <w:proofErr w:type="spellStart"/>
      <w:r>
        <w:rPr>
          <w:rFonts w:ascii="Times New Roman" w:eastAsia="宋体" w:hAnsi="Times New Roman" w:cs="Times New Roman" w:hint="eastAsia"/>
          <w:color w:val="000000" w:themeColor="text1"/>
          <w:szCs w:val="21"/>
        </w:rPr>
        <w:t>ng</w:t>
      </w:r>
      <w:proofErr w:type="spellEnd"/>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取样量为</w:t>
      </w:r>
      <w:r>
        <w:rPr>
          <w:rFonts w:ascii="Times New Roman" w:eastAsia="宋体" w:hAnsi="Times New Roman" w:cs="Times New Roman" w:hint="eastAsia"/>
          <w:color w:val="000000" w:themeColor="text1"/>
          <w:szCs w:val="21"/>
        </w:rPr>
        <w:t>0.5</w:t>
      </w:r>
      <w:r>
        <w:rPr>
          <w:rFonts w:ascii="Times New Roman" w:eastAsia="宋体" w:hAnsi="Times New Roman" w:cs="Times New Roman"/>
          <w:color w:val="000000" w:themeColor="text1"/>
          <w:szCs w:val="21"/>
        </w:rPr>
        <w:t xml:space="preserve"> g</w:t>
      </w:r>
      <w:r>
        <w:rPr>
          <w:rFonts w:ascii="Times New Roman" w:eastAsia="宋体" w:hAnsi="Times New Roman" w:cs="Times New Roman"/>
          <w:color w:val="000000" w:themeColor="text1"/>
          <w:szCs w:val="21"/>
        </w:rPr>
        <w:t>时，</w:t>
      </w:r>
      <w:r>
        <w:rPr>
          <w:rFonts w:ascii="Times New Roman" w:eastAsia="宋体" w:hAnsi="Times New Roman" w:cs="Times New Roman" w:hint="eastAsia"/>
          <w:color w:val="000000" w:themeColor="text1"/>
          <w:szCs w:val="21"/>
        </w:rPr>
        <w:t>检</w:t>
      </w:r>
      <w:r>
        <w:rPr>
          <w:rFonts w:ascii="Times New Roman" w:eastAsia="宋体" w:hAnsi="Times New Roman" w:cs="Times New Roman"/>
          <w:color w:val="000000" w:themeColor="text1"/>
          <w:szCs w:val="21"/>
        </w:rPr>
        <w:t>出浓度为</w:t>
      </w:r>
      <w:r>
        <w:rPr>
          <w:rFonts w:ascii="Times New Roman" w:eastAsia="宋体" w:hAnsi="Times New Roman" w:cs="Times New Roman"/>
          <w:color w:val="000000" w:themeColor="text1"/>
          <w:szCs w:val="21"/>
        </w:rPr>
        <w:t xml:space="preserve">3 </w:t>
      </w:r>
      <w:proofErr w:type="spellStart"/>
      <w:r>
        <w:rPr>
          <w:rFonts w:ascii="Times New Roman" w:eastAsia="宋体" w:hAnsi="Times New Roman" w:cs="Times New Roman"/>
          <w:color w:val="000000" w:themeColor="text1"/>
          <w:szCs w:val="21"/>
        </w:rPr>
        <w:t>μg</w:t>
      </w:r>
      <w:proofErr w:type="spellEnd"/>
      <w:r>
        <w:rPr>
          <w:rFonts w:ascii="Times New Roman" w:eastAsia="宋体" w:hAnsi="Times New Roman" w:cs="Times New Roman"/>
          <w:color w:val="000000" w:themeColor="text1"/>
          <w:szCs w:val="21"/>
        </w:rPr>
        <w:t>/g</w:t>
      </w:r>
      <w:r>
        <w:rPr>
          <w:rFonts w:ascii="Times New Roman" w:eastAsia="宋体" w:hAnsi="Times New Roman" w:cs="Times New Roman"/>
          <w:color w:val="000000" w:themeColor="text1"/>
          <w:szCs w:val="21"/>
        </w:rPr>
        <w:t>，最低定量浓度为</w:t>
      </w:r>
      <w:r>
        <w:rPr>
          <w:rFonts w:ascii="Times New Roman" w:eastAsia="宋体" w:hAnsi="Times New Roman" w:cs="Times New Roman"/>
          <w:color w:val="000000" w:themeColor="text1"/>
          <w:szCs w:val="21"/>
        </w:rPr>
        <w:t xml:space="preserve">10 </w:t>
      </w:r>
      <w:proofErr w:type="spellStart"/>
      <w:r>
        <w:rPr>
          <w:rFonts w:ascii="Times New Roman" w:eastAsia="宋体" w:hAnsi="Times New Roman" w:cs="Times New Roman"/>
          <w:color w:val="000000" w:themeColor="text1"/>
          <w:szCs w:val="21"/>
        </w:rPr>
        <w:t>μg</w:t>
      </w:r>
      <w:proofErr w:type="spellEnd"/>
      <w:r>
        <w:rPr>
          <w:rFonts w:ascii="Times New Roman" w:eastAsia="宋体" w:hAnsi="Times New Roman" w:cs="Times New Roman"/>
          <w:color w:val="000000" w:themeColor="text1"/>
          <w:szCs w:val="21"/>
        </w:rPr>
        <w:t>/g</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b/>
          <w:color w:val="000000" w:themeColor="text1"/>
          <w:szCs w:val="21"/>
        </w:rPr>
      </w:pPr>
      <w:r>
        <w:rPr>
          <w:rFonts w:ascii="Times New Roman" w:eastAsia="宋体" w:hAnsi="Times New Roman" w:cs="Times New Roman"/>
          <w:bCs/>
          <w:color w:val="000000" w:themeColor="text1"/>
          <w:szCs w:val="21"/>
        </w:rPr>
        <w:t>3</w:t>
      </w:r>
      <w:r>
        <w:rPr>
          <w:rFonts w:ascii="Times New Roman" w:eastAsia="宋体" w:hAnsi="Times New Roman" w:cs="Times New Roman"/>
          <w:b/>
          <w:color w:val="000000" w:themeColor="text1"/>
          <w:szCs w:val="21"/>
        </w:rPr>
        <w:t xml:space="preserve">  </w:t>
      </w:r>
      <w:r>
        <w:rPr>
          <w:rFonts w:ascii="黑体" w:eastAsia="黑体" w:hAnsi="黑体" w:cs="Times New Roman"/>
          <w:bCs/>
          <w:color w:val="000000" w:themeColor="text1"/>
          <w:szCs w:val="21"/>
        </w:rPr>
        <w:t>试剂和材料</w:t>
      </w:r>
    </w:p>
    <w:p w:rsidR="00D030B4" w:rsidRDefault="004248DB">
      <w:pPr>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除另有规定外，本方法所用试剂均为分析纯或以上规格，水为</w:t>
      </w:r>
      <w:r>
        <w:rPr>
          <w:rFonts w:ascii="Times New Roman" w:eastAsia="宋体" w:hAnsi="Times New Roman" w:cs="Times New Roman"/>
          <w:color w:val="000000" w:themeColor="text1"/>
          <w:szCs w:val="21"/>
        </w:rPr>
        <w:t>GB/T 6682</w:t>
      </w:r>
      <w:r>
        <w:rPr>
          <w:rFonts w:ascii="Times New Roman" w:eastAsia="宋体" w:hAnsi="Times New Roman" w:cs="Times New Roman"/>
          <w:color w:val="000000" w:themeColor="text1"/>
          <w:szCs w:val="21"/>
        </w:rPr>
        <w:t>规定的一级水。</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3.1  </w:t>
      </w:r>
      <w:r>
        <w:rPr>
          <w:rFonts w:ascii="Times New Roman" w:eastAsia="宋体" w:hAnsi="Times New Roman" w:cs="Times New Roman" w:hint="eastAsia"/>
          <w:color w:val="000000" w:themeColor="text1"/>
          <w:szCs w:val="21"/>
        </w:rPr>
        <w:t>标准品：</w:t>
      </w:r>
      <w:r>
        <w:rPr>
          <w:rFonts w:ascii="Times New Roman" w:eastAsia="宋体" w:hAnsi="Times New Roman" w:cs="Times New Roman"/>
          <w:color w:val="000000" w:themeColor="text1"/>
          <w:szCs w:val="21"/>
        </w:rPr>
        <w:t>二甘醇、</w:t>
      </w:r>
      <w:proofErr w:type="gramStart"/>
      <w:r>
        <w:rPr>
          <w:rFonts w:ascii="Times New Roman" w:eastAsia="宋体" w:hAnsi="Times New Roman" w:cs="Times New Roman"/>
          <w:color w:val="000000" w:themeColor="text1"/>
          <w:szCs w:val="21"/>
        </w:rPr>
        <w:t>氘代二</w:t>
      </w:r>
      <w:proofErr w:type="gramEnd"/>
      <w:r>
        <w:rPr>
          <w:rFonts w:ascii="Times New Roman" w:eastAsia="宋体" w:hAnsi="Times New Roman" w:cs="Times New Roman"/>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宋体" w:eastAsia="宋体" w:hAnsi="宋体" w:cs="Times New Roman" w:hint="eastAsia"/>
          <w:color w:val="000000" w:themeColor="text1"/>
          <w:szCs w:val="21"/>
        </w:rPr>
        <w:t>,纯度大</w:t>
      </w:r>
      <w:r>
        <w:rPr>
          <w:rFonts w:ascii="Times New Roman" w:eastAsia="宋体" w:hAnsi="Times New Roman" w:cs="Times New Roman" w:hint="eastAsia"/>
          <w:color w:val="000000" w:themeColor="text1"/>
          <w:szCs w:val="21"/>
        </w:rPr>
        <w:t>于</w:t>
      </w:r>
      <w:r>
        <w:rPr>
          <w:rFonts w:ascii="Times New Roman" w:eastAsia="宋体" w:hAnsi="Times New Roman" w:cs="Times New Roman" w:hint="eastAsia"/>
          <w:color w:val="000000" w:themeColor="text1"/>
          <w:szCs w:val="21"/>
        </w:rPr>
        <w:t>97%</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信息详见附录</w:t>
      </w: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3.2  </w:t>
      </w:r>
      <w:r>
        <w:rPr>
          <w:rFonts w:ascii="Times New Roman" w:eastAsia="宋体" w:hAnsi="Times New Roman" w:cs="Times New Roman"/>
          <w:color w:val="000000" w:themeColor="text1"/>
          <w:szCs w:val="21"/>
        </w:rPr>
        <w:t>甲醇，色谱纯。</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3.3  </w:t>
      </w:r>
      <w:r>
        <w:rPr>
          <w:rFonts w:ascii="Times New Roman" w:eastAsia="宋体" w:hAnsi="Times New Roman" w:cs="Times New Roman"/>
          <w:color w:val="000000" w:themeColor="text1"/>
          <w:szCs w:val="21"/>
        </w:rPr>
        <w:t>无水硫酸钠。</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3.4  </w:t>
      </w:r>
      <w:r>
        <w:rPr>
          <w:rFonts w:ascii="Times New Roman" w:eastAsia="宋体" w:hAnsi="Times New Roman" w:cs="Times New Roman" w:hint="eastAsia"/>
          <w:color w:val="000000" w:themeColor="text1"/>
          <w:szCs w:val="21"/>
        </w:rPr>
        <w:t>二甘醇</w:t>
      </w:r>
      <w:r>
        <w:rPr>
          <w:rFonts w:ascii="Times New Roman" w:eastAsia="宋体" w:hAnsi="Times New Roman" w:cs="Times New Roman"/>
          <w:color w:val="000000" w:themeColor="text1"/>
          <w:szCs w:val="21"/>
        </w:rPr>
        <w:t>标准储备溶液：称取二甘醇</w:t>
      </w:r>
      <w:r w:rsidRPr="00D2424F">
        <w:rPr>
          <w:rFonts w:ascii="Times New Roman" w:eastAsia="宋体" w:hAnsi="Times New Roman" w:cs="Times New Roman" w:hint="eastAsia"/>
          <w:strike/>
          <w:color w:val="000000" w:themeColor="text1"/>
          <w:szCs w:val="21"/>
        </w:rPr>
        <w:t>标准品</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3.1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10 mg</w:t>
      </w:r>
      <w:r>
        <w:rPr>
          <w:rFonts w:ascii="Times New Roman" w:eastAsia="宋体" w:hAnsi="Times New Roman" w:cs="Times New Roman"/>
          <w:color w:val="000000" w:themeColor="text1"/>
          <w:szCs w:val="21"/>
        </w:rPr>
        <w:t>（精确至</w:t>
      </w:r>
      <w:r>
        <w:rPr>
          <w:rFonts w:ascii="Times New Roman" w:eastAsia="宋体" w:hAnsi="Times New Roman" w:cs="Times New Roman"/>
          <w:color w:val="000000" w:themeColor="text1"/>
          <w:szCs w:val="21"/>
        </w:rPr>
        <w:t>0. 00001 g</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于</w:t>
      </w:r>
      <w:r>
        <w:rPr>
          <w:rFonts w:ascii="Times New Roman" w:eastAsia="宋体" w:hAnsi="Times New Roman" w:cs="Times New Roman"/>
          <w:color w:val="000000" w:themeColor="text1"/>
          <w:szCs w:val="21"/>
        </w:rPr>
        <w:t>10</w:t>
      </w:r>
      <w:r>
        <w:rPr>
          <w:rFonts w:ascii="Times New Roman" w:eastAsia="宋体" w:hAnsi="Times New Roman" w:cs="Times New Roman" w:hint="eastAsia"/>
          <w:color w:val="000000" w:themeColor="text1"/>
          <w:szCs w:val="21"/>
        </w:rPr>
        <w:t>0</w:t>
      </w:r>
      <w:r>
        <w:rPr>
          <w:rFonts w:ascii="Times New Roman" w:eastAsia="宋体" w:hAnsi="Times New Roman" w:cs="Times New Roman"/>
          <w:color w:val="000000" w:themeColor="text1"/>
          <w:szCs w:val="21"/>
        </w:rPr>
        <w:t xml:space="preserve"> mL</w:t>
      </w:r>
      <w:r>
        <w:rPr>
          <w:rFonts w:ascii="Times New Roman" w:eastAsia="宋体" w:hAnsi="Times New Roman" w:cs="Times New Roman"/>
          <w:color w:val="000000" w:themeColor="text1"/>
          <w:szCs w:val="21"/>
        </w:rPr>
        <w:t>容量瓶中，</w:t>
      </w:r>
      <w:r>
        <w:rPr>
          <w:rFonts w:ascii="Times New Roman" w:eastAsia="宋体" w:hAnsi="Times New Roman" w:cs="Times New Roman" w:hint="eastAsia"/>
          <w:color w:val="000000" w:themeColor="text1"/>
          <w:szCs w:val="21"/>
        </w:rPr>
        <w:t>用</w:t>
      </w:r>
      <w:r>
        <w:rPr>
          <w:rFonts w:ascii="Times New Roman" w:eastAsia="宋体" w:hAnsi="Times New Roman" w:cs="Times New Roman"/>
          <w:color w:val="000000" w:themeColor="text1"/>
          <w:szCs w:val="21"/>
        </w:rPr>
        <w:t>甲醇</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3.2</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溶解并</w:t>
      </w:r>
      <w:proofErr w:type="gramStart"/>
      <w:r>
        <w:rPr>
          <w:rFonts w:ascii="Times New Roman" w:eastAsia="宋体" w:hAnsi="Times New Roman" w:cs="Times New Roman"/>
          <w:color w:val="000000" w:themeColor="text1"/>
          <w:szCs w:val="21"/>
        </w:rPr>
        <w:t>定容至刻度</w:t>
      </w:r>
      <w:proofErr w:type="gramEnd"/>
      <w:r>
        <w:rPr>
          <w:rFonts w:ascii="Times New Roman" w:eastAsia="宋体" w:hAnsi="Times New Roman" w:cs="Times New Roman"/>
          <w:color w:val="000000" w:themeColor="text1"/>
          <w:szCs w:val="21"/>
        </w:rPr>
        <w:t>，摇匀，</w:t>
      </w:r>
      <w:r>
        <w:rPr>
          <w:rFonts w:ascii="Times New Roman" w:eastAsia="宋体" w:hAnsi="Times New Roman" w:cs="Times New Roman" w:hint="eastAsia"/>
          <w:color w:val="000000" w:themeColor="text1"/>
          <w:szCs w:val="21"/>
        </w:rPr>
        <w:t>配制成质量浓度为</w:t>
      </w:r>
      <w:r>
        <w:rPr>
          <w:rFonts w:ascii="Times New Roman" w:eastAsia="宋体" w:hAnsi="Times New Roman" w:cs="Times New Roman" w:hint="eastAsia"/>
          <w:color w:val="000000" w:themeColor="text1"/>
          <w:szCs w:val="21"/>
        </w:rPr>
        <w:t>100</w:t>
      </w:r>
      <w:r>
        <w:rPr>
          <w:rFonts w:ascii="Times New Roman" w:eastAsia="宋体" w:hAnsi="Times New Roman" w:cs="Times New Roman"/>
          <w:color w:val="000000" w:themeColor="text1"/>
          <w:szCs w:val="21"/>
        </w:rPr>
        <w:t>µg</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/mL</w:t>
      </w:r>
      <w:r>
        <w:rPr>
          <w:rFonts w:ascii="Times New Roman" w:eastAsia="宋体" w:hAnsi="Times New Roman" w:cs="Times New Roman" w:hint="eastAsia"/>
          <w:color w:val="000000" w:themeColor="text1"/>
          <w:szCs w:val="21"/>
        </w:rPr>
        <w:t>的二甘醇标准储备溶液，于</w:t>
      </w:r>
      <w:r>
        <w:rPr>
          <w:rFonts w:ascii="Times New Roman" w:eastAsia="宋体" w:hAnsi="Times New Roman" w:cs="Times New Roman" w:hint="eastAsia"/>
          <w:color w:val="000000" w:themeColor="text1"/>
          <w:szCs w:val="21"/>
        </w:rPr>
        <w:t>-20</w:t>
      </w:r>
      <w:r>
        <w:rPr>
          <w:rFonts w:ascii="Times New Roman" w:eastAsia="宋体" w:hAnsi="Times New Roman" w:cs="Times New Roman" w:hint="eastAsia"/>
          <w:color w:val="000000" w:themeColor="text1"/>
          <w:szCs w:val="21"/>
        </w:rPr>
        <w:t>℃保存</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个月。</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5</w:t>
      </w:r>
      <w:r>
        <w:rPr>
          <w:rFonts w:ascii="Times New Roman" w:eastAsia="宋体" w:hAnsi="Times New Roman" w:cs="Times New Roman"/>
          <w:color w:val="000000" w:themeColor="text1"/>
          <w:szCs w:val="21"/>
        </w:rPr>
        <w:t xml:space="preserve">  </w:t>
      </w:r>
      <w:proofErr w:type="gramStart"/>
      <w:r>
        <w:rPr>
          <w:rFonts w:ascii="Times New Roman" w:eastAsia="宋体" w:hAnsi="Times New Roman" w:cs="Times New Roman" w:hint="eastAsia"/>
          <w:color w:val="000000" w:themeColor="text1"/>
          <w:szCs w:val="21"/>
        </w:rPr>
        <w:t>氘代二</w:t>
      </w:r>
      <w:proofErr w:type="gramEnd"/>
      <w:r>
        <w:rPr>
          <w:rFonts w:ascii="Times New Roman" w:eastAsia="宋体" w:hAnsi="Times New Roman" w:cs="Times New Roman" w:hint="eastAsia"/>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Times New Roman" w:eastAsia="宋体" w:hAnsi="Times New Roman" w:cs="Times New Roman"/>
          <w:color w:val="000000" w:themeColor="text1"/>
          <w:szCs w:val="21"/>
        </w:rPr>
        <w:t>内标储备溶液：称取</w:t>
      </w:r>
      <w:proofErr w:type="gramStart"/>
      <w:r>
        <w:rPr>
          <w:rFonts w:ascii="Times New Roman" w:eastAsia="宋体" w:hAnsi="Times New Roman" w:cs="Times New Roman"/>
          <w:color w:val="000000" w:themeColor="text1"/>
          <w:szCs w:val="21"/>
        </w:rPr>
        <w:t>氘代二</w:t>
      </w:r>
      <w:proofErr w:type="gramEnd"/>
      <w:r>
        <w:rPr>
          <w:rFonts w:ascii="Times New Roman" w:eastAsia="宋体" w:hAnsi="Times New Roman" w:cs="Times New Roman"/>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Times New Roman" w:eastAsia="宋体" w:hAnsi="Times New Roman" w:cs="Times New Roman"/>
          <w:color w:val="000000" w:themeColor="text1"/>
          <w:szCs w:val="21"/>
        </w:rPr>
        <w:t>标准品（</w:t>
      </w:r>
      <w:r>
        <w:rPr>
          <w:rFonts w:ascii="Times New Roman" w:eastAsia="宋体" w:hAnsi="Times New Roman" w:cs="Times New Roman"/>
          <w:color w:val="000000" w:themeColor="text1"/>
          <w:szCs w:val="21"/>
        </w:rPr>
        <w:t>3.1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10 mg</w:t>
      </w:r>
      <w:r>
        <w:rPr>
          <w:rFonts w:ascii="Times New Roman" w:eastAsia="宋体" w:hAnsi="Times New Roman" w:cs="Times New Roman"/>
          <w:color w:val="000000" w:themeColor="text1"/>
          <w:szCs w:val="21"/>
        </w:rPr>
        <w:t>（精确至</w:t>
      </w:r>
      <w:r>
        <w:rPr>
          <w:rFonts w:ascii="Times New Roman" w:eastAsia="宋体" w:hAnsi="Times New Roman" w:cs="Times New Roman"/>
          <w:color w:val="000000" w:themeColor="text1"/>
          <w:szCs w:val="21"/>
        </w:rPr>
        <w:t>0.00001 g</w:t>
      </w:r>
      <w:r>
        <w:rPr>
          <w:rFonts w:ascii="Times New Roman" w:eastAsia="宋体" w:hAnsi="Times New Roman" w:cs="Times New Roman"/>
          <w:color w:val="000000" w:themeColor="text1"/>
          <w:szCs w:val="21"/>
        </w:rPr>
        <w:t>），置</w:t>
      </w:r>
      <w:r>
        <w:rPr>
          <w:rFonts w:ascii="Times New Roman" w:eastAsia="宋体" w:hAnsi="Times New Roman" w:cs="Times New Roman"/>
          <w:color w:val="000000" w:themeColor="text1"/>
          <w:szCs w:val="21"/>
        </w:rPr>
        <w:t>10 mL</w:t>
      </w:r>
      <w:r>
        <w:rPr>
          <w:rFonts w:ascii="Times New Roman" w:eastAsia="宋体" w:hAnsi="Times New Roman" w:cs="Times New Roman"/>
          <w:color w:val="000000" w:themeColor="text1"/>
          <w:szCs w:val="21"/>
        </w:rPr>
        <w:t>容量瓶中，</w:t>
      </w:r>
      <w:r>
        <w:rPr>
          <w:rFonts w:ascii="Times New Roman" w:eastAsia="宋体" w:hAnsi="Times New Roman" w:cs="Times New Roman" w:hint="eastAsia"/>
          <w:color w:val="000000" w:themeColor="text1"/>
          <w:szCs w:val="21"/>
        </w:rPr>
        <w:t>用甲醇（</w:t>
      </w:r>
      <w:r>
        <w:rPr>
          <w:rFonts w:ascii="Times New Roman" w:eastAsia="宋体" w:hAnsi="Times New Roman" w:cs="Times New Roman" w:hint="eastAsia"/>
          <w:color w:val="000000" w:themeColor="text1"/>
          <w:szCs w:val="21"/>
        </w:rPr>
        <w:t>3.2</w:t>
      </w:r>
      <w:r>
        <w:rPr>
          <w:rFonts w:ascii="Times New Roman" w:eastAsia="宋体" w:hAnsi="Times New Roman" w:cs="Times New Roman" w:hint="eastAsia"/>
          <w:color w:val="000000" w:themeColor="text1"/>
          <w:szCs w:val="21"/>
        </w:rPr>
        <w:t>）溶解并</w:t>
      </w:r>
      <w:proofErr w:type="gramStart"/>
      <w:r>
        <w:rPr>
          <w:rFonts w:ascii="Times New Roman" w:eastAsia="宋体" w:hAnsi="Times New Roman" w:cs="Times New Roman" w:hint="eastAsia"/>
          <w:color w:val="000000" w:themeColor="text1"/>
          <w:szCs w:val="21"/>
        </w:rPr>
        <w:t>定容至刻度</w:t>
      </w:r>
      <w:proofErr w:type="gramEnd"/>
      <w:r>
        <w:rPr>
          <w:rFonts w:ascii="Times New Roman" w:eastAsia="宋体" w:hAnsi="Times New Roman" w:cs="Times New Roman" w:hint="eastAsia"/>
          <w:color w:val="000000" w:themeColor="text1"/>
          <w:szCs w:val="21"/>
        </w:rPr>
        <w:t>，摇匀，配制成质量浓度为</w:t>
      </w:r>
      <w:r>
        <w:rPr>
          <w:rFonts w:ascii="Times New Roman" w:eastAsia="宋体" w:hAnsi="Times New Roman" w:cs="Times New Roman" w:hint="eastAsia"/>
          <w:color w:val="000000" w:themeColor="text1"/>
          <w:szCs w:val="21"/>
        </w:rPr>
        <w:t xml:space="preserve">1 </w:t>
      </w:r>
      <w:r>
        <w:rPr>
          <w:rFonts w:ascii="Times New Roman" w:eastAsia="宋体" w:hAnsi="Times New Roman" w:cs="Times New Roman"/>
          <w:color w:val="000000" w:themeColor="text1"/>
          <w:szCs w:val="21"/>
        </w:rPr>
        <w:t>mg/mL</w:t>
      </w:r>
      <w:r>
        <w:rPr>
          <w:rFonts w:ascii="Times New Roman" w:eastAsia="宋体" w:hAnsi="Times New Roman" w:cs="Times New Roman" w:hint="eastAsia"/>
          <w:color w:val="000000" w:themeColor="text1"/>
          <w:szCs w:val="21"/>
        </w:rPr>
        <w:t>的</w:t>
      </w:r>
      <w:proofErr w:type="gramStart"/>
      <w:r>
        <w:rPr>
          <w:rFonts w:ascii="Times New Roman" w:eastAsia="宋体" w:hAnsi="Times New Roman" w:cs="Times New Roman" w:hint="eastAsia"/>
          <w:color w:val="000000" w:themeColor="text1"/>
          <w:szCs w:val="21"/>
        </w:rPr>
        <w:t>氘代二</w:t>
      </w:r>
      <w:proofErr w:type="gramEnd"/>
      <w:r>
        <w:rPr>
          <w:rFonts w:ascii="Times New Roman" w:eastAsia="宋体" w:hAnsi="Times New Roman" w:cs="Times New Roman" w:hint="eastAsia"/>
          <w:color w:val="000000" w:themeColor="text1"/>
          <w:szCs w:val="21"/>
        </w:rPr>
        <w:t>甘醇</w:t>
      </w:r>
      <w:r>
        <w:rPr>
          <w:rFonts w:ascii="Times New Roman" w:eastAsia="宋体" w:hAnsi="Times New Roman" w:cs="Times New Roman" w:hint="eastAsia"/>
          <w:color w:val="000000" w:themeColor="text1"/>
          <w:szCs w:val="21"/>
        </w:rPr>
        <w:t>-D</w:t>
      </w:r>
      <w:r>
        <w:rPr>
          <w:rFonts w:ascii="Times New Roman" w:eastAsia="宋体" w:hAnsi="Times New Roman" w:cs="Times New Roman" w:hint="eastAsia"/>
          <w:color w:val="000000" w:themeColor="text1"/>
          <w:szCs w:val="21"/>
          <w:vertAlign w:val="subscript"/>
        </w:rPr>
        <w:t>8</w:t>
      </w:r>
      <w:r>
        <w:rPr>
          <w:rFonts w:ascii="Times New Roman" w:eastAsia="宋体" w:hAnsi="Times New Roman" w:cs="Times New Roman" w:hint="eastAsia"/>
          <w:color w:val="000000" w:themeColor="text1"/>
          <w:szCs w:val="21"/>
        </w:rPr>
        <w:t>内标储备溶液，于</w:t>
      </w:r>
      <w:r>
        <w:rPr>
          <w:rFonts w:ascii="Times New Roman" w:eastAsia="宋体" w:hAnsi="Times New Roman" w:cs="Times New Roman" w:hint="eastAsia"/>
          <w:color w:val="000000" w:themeColor="text1"/>
          <w:szCs w:val="21"/>
        </w:rPr>
        <w:t>-20</w:t>
      </w:r>
      <w:r>
        <w:rPr>
          <w:rFonts w:ascii="Times New Roman" w:eastAsia="宋体" w:hAnsi="Times New Roman" w:cs="Times New Roman" w:hint="eastAsia"/>
          <w:color w:val="000000" w:themeColor="text1"/>
          <w:szCs w:val="21"/>
        </w:rPr>
        <w:t>℃保存</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个月。</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6</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微孔滤膜（</w:t>
      </w:r>
      <w:r>
        <w:rPr>
          <w:rFonts w:ascii="Times New Roman" w:eastAsia="宋体" w:hAnsi="Times New Roman" w:cs="Times New Roman"/>
          <w:color w:val="000000" w:themeColor="text1"/>
          <w:szCs w:val="21"/>
        </w:rPr>
        <w:t>0.22 µm</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4</w:t>
      </w:r>
      <w:r>
        <w:rPr>
          <w:rFonts w:ascii="Times New Roman" w:eastAsia="宋体" w:hAnsi="Times New Roman" w:cs="Times New Roman"/>
          <w:b/>
          <w:color w:val="000000" w:themeColor="text1"/>
          <w:szCs w:val="21"/>
        </w:rPr>
        <w:t xml:space="preserve"> </w:t>
      </w:r>
      <w:r>
        <w:rPr>
          <w:rFonts w:ascii="Times New Roman" w:eastAsia="宋体" w:hAnsi="Times New Roman" w:cs="Times New Roman"/>
          <w:bCs/>
          <w:color w:val="000000" w:themeColor="text1"/>
          <w:szCs w:val="21"/>
        </w:rPr>
        <w:t xml:space="preserve"> </w:t>
      </w:r>
      <w:r>
        <w:rPr>
          <w:rFonts w:ascii="黑体" w:eastAsia="黑体" w:hAnsi="黑体" w:cs="Times New Roman"/>
          <w:bCs/>
          <w:color w:val="000000" w:themeColor="text1"/>
          <w:szCs w:val="21"/>
        </w:rPr>
        <w:t>仪器和设备</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4.1  </w:t>
      </w:r>
      <w:r>
        <w:rPr>
          <w:rFonts w:ascii="Times New Roman" w:eastAsia="宋体" w:hAnsi="Times New Roman" w:cs="Times New Roman"/>
          <w:color w:val="000000" w:themeColor="text1"/>
          <w:szCs w:val="21"/>
        </w:rPr>
        <w:t>气相色谱</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质谱联用仪</w:t>
      </w:r>
      <w:r>
        <w:rPr>
          <w:rFonts w:ascii="Times New Roman" w:eastAsia="宋体" w:hAnsi="Times New Roman" w:cs="Times New Roman" w:hint="eastAsia"/>
          <w:color w:val="000000" w:themeColor="text1"/>
          <w:szCs w:val="21"/>
        </w:rPr>
        <w:t>，配有电子轰击电离源（</w:t>
      </w:r>
      <w:r>
        <w:rPr>
          <w:rFonts w:ascii="Times New Roman" w:eastAsia="宋体" w:hAnsi="Times New Roman" w:cs="Times New Roman" w:hint="eastAsia"/>
          <w:color w:val="000000" w:themeColor="text1"/>
          <w:szCs w:val="21"/>
        </w:rPr>
        <w:t>EI</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w:t>
      </w:r>
    </w:p>
    <w:p w:rsidR="00D030B4" w:rsidRDefault="004248DB">
      <w:pPr>
        <w:tabs>
          <w:tab w:val="left" w:pos="1853"/>
        </w:tabs>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4.2  </w:t>
      </w:r>
      <w:r>
        <w:rPr>
          <w:rFonts w:ascii="Times New Roman" w:eastAsia="宋体" w:hAnsi="Times New Roman" w:cs="Times New Roman" w:hint="eastAsia"/>
          <w:color w:val="000000" w:themeColor="text1"/>
          <w:szCs w:val="21"/>
        </w:rPr>
        <w:t>分析</w:t>
      </w:r>
      <w:r>
        <w:rPr>
          <w:rFonts w:ascii="Times New Roman" w:eastAsia="宋体" w:hAnsi="Times New Roman" w:cs="Times New Roman"/>
          <w:color w:val="000000" w:themeColor="text1"/>
          <w:szCs w:val="21"/>
        </w:rPr>
        <w:t>天平</w:t>
      </w:r>
      <w:r>
        <w:rPr>
          <w:rFonts w:ascii="Times New Roman" w:eastAsia="宋体" w:hAnsi="Times New Roman" w:cs="Times New Roman" w:hint="eastAsia"/>
          <w:szCs w:val="21"/>
        </w:rPr>
        <w:t>，</w:t>
      </w:r>
      <w:r>
        <w:rPr>
          <w:rFonts w:ascii="Times New Roman" w:eastAsia="宋体" w:hAnsi="Times New Roman" w:cs="Times New Roman"/>
          <w:szCs w:val="21"/>
        </w:rPr>
        <w:t>感量为</w:t>
      </w:r>
      <w:r>
        <w:rPr>
          <w:rFonts w:ascii="Times New Roman" w:hAnsi="Times New Roman"/>
          <w:szCs w:val="21"/>
        </w:rPr>
        <w:t>0.0001 g</w:t>
      </w:r>
      <w:r>
        <w:rPr>
          <w:rFonts w:ascii="Times New Roman" w:hAnsi="Times New Roman"/>
          <w:szCs w:val="21"/>
        </w:rPr>
        <w:t>和</w:t>
      </w:r>
      <w:r>
        <w:rPr>
          <w:rFonts w:ascii="Times New Roman" w:hAnsi="Times New Roman"/>
          <w:szCs w:val="21"/>
        </w:rPr>
        <w:t>0.00001 g</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ab/>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4.3  </w:t>
      </w:r>
      <w:r>
        <w:rPr>
          <w:rFonts w:ascii="Times New Roman" w:eastAsia="宋体" w:hAnsi="Times New Roman" w:cs="Times New Roman"/>
          <w:color w:val="000000" w:themeColor="text1"/>
          <w:szCs w:val="21"/>
        </w:rPr>
        <w:t>超声波清洗</w:t>
      </w:r>
      <w:r>
        <w:rPr>
          <w:rFonts w:ascii="Times New Roman" w:eastAsia="宋体" w:hAnsi="Times New Roman" w:cs="Times New Roman" w:hint="eastAsia"/>
          <w:color w:val="000000" w:themeColor="text1"/>
          <w:szCs w:val="21"/>
        </w:rPr>
        <w:t>仪</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4.4  </w:t>
      </w:r>
      <w:r>
        <w:rPr>
          <w:rFonts w:ascii="Times New Roman" w:eastAsia="宋体" w:hAnsi="Times New Roman" w:cs="Times New Roman"/>
          <w:color w:val="000000" w:themeColor="text1"/>
          <w:szCs w:val="21"/>
        </w:rPr>
        <w:t>涡旋混合仪。</w:t>
      </w:r>
    </w:p>
    <w:p w:rsidR="00D030B4" w:rsidRDefault="004248DB">
      <w:pPr>
        <w:snapToGrid w:val="0"/>
        <w:spacing w:beforeLines="50" w:before="156" w:afterLines="50" w:after="156" w:line="30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 xml:space="preserve">4.5  </w:t>
      </w:r>
      <w:r>
        <w:rPr>
          <w:rFonts w:ascii="Times New Roman" w:eastAsia="宋体" w:hAnsi="Times New Roman" w:cs="Times New Roman"/>
          <w:color w:val="000000" w:themeColor="text1"/>
          <w:szCs w:val="21"/>
        </w:rPr>
        <w:t>离心机</w:t>
      </w:r>
      <w:r>
        <w:rPr>
          <w:rFonts w:ascii="Times New Roman" w:eastAsia="宋体" w:hAnsi="Times New Roman" w:cs="Times New Roman"/>
          <w:color w:val="000000" w:themeColor="text1"/>
          <w:kern w:val="0"/>
          <w:szCs w:val="21"/>
        </w:rPr>
        <w:t>，转速</w:t>
      </w:r>
      <w:r>
        <w:rPr>
          <w:rFonts w:ascii="Times New Roman" w:eastAsia="宋体" w:hAnsi="Times New Roman" w:cs="Times New Roman"/>
          <w:kern w:val="0"/>
          <w:szCs w:val="21"/>
        </w:rPr>
        <w:t>可达</w:t>
      </w:r>
      <w:r>
        <w:rPr>
          <w:rFonts w:ascii="Times New Roman" w:eastAsia="宋体" w:hAnsi="Times New Roman" w:cs="Times New Roman"/>
          <w:color w:val="000000" w:themeColor="text1"/>
          <w:kern w:val="0"/>
          <w:szCs w:val="21"/>
        </w:rPr>
        <w:t>8000 r/min</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  </w:t>
      </w:r>
      <w:r>
        <w:rPr>
          <w:rFonts w:ascii="黑体" w:eastAsia="黑体" w:hAnsi="黑体" w:cs="Times New Roman"/>
          <w:bCs/>
          <w:color w:val="000000" w:themeColor="text1"/>
          <w:szCs w:val="21"/>
        </w:rPr>
        <w:t>分析步骤</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5.1  </w:t>
      </w:r>
      <w:r>
        <w:rPr>
          <w:rFonts w:ascii="Times New Roman" w:eastAsia="宋体" w:hAnsi="Times New Roman" w:cs="Times New Roman"/>
          <w:bCs/>
          <w:color w:val="000000" w:themeColor="text1"/>
          <w:szCs w:val="21"/>
        </w:rPr>
        <w:t>标准系列溶液的制备</w:t>
      </w:r>
    </w:p>
    <w:p w:rsidR="00D030B4" w:rsidRDefault="004248DB">
      <w:pPr>
        <w:autoSpaceDE w:val="0"/>
        <w:autoSpaceDN w:val="0"/>
        <w:adjustRightInd w:val="0"/>
        <w:snapToGrid w:val="0"/>
        <w:spacing w:beforeLines="50" w:before="156" w:afterLines="50" w:after="156" w:line="300" w:lineRule="auto"/>
        <w:ind w:firstLineChars="200" w:firstLine="420"/>
        <w:rPr>
          <w:rFonts w:hAnsiTheme="minorEastAsia"/>
          <w:color w:val="000000" w:themeColor="text1"/>
          <w:kern w:val="0"/>
          <w:szCs w:val="21"/>
        </w:rPr>
      </w:pPr>
      <w:r>
        <w:rPr>
          <w:rFonts w:ascii="Times New Roman" w:eastAsia="宋体" w:hAnsi="Times New Roman" w:cs="Times New Roman"/>
          <w:color w:val="000000" w:themeColor="text1"/>
          <w:szCs w:val="21"/>
        </w:rPr>
        <w:t>分别精密</w:t>
      </w:r>
      <w:r>
        <w:rPr>
          <w:rFonts w:ascii="Times New Roman" w:eastAsia="宋体" w:hAnsi="Times New Roman" w:cs="Times New Roman" w:hint="eastAsia"/>
          <w:color w:val="000000" w:themeColor="text1"/>
          <w:szCs w:val="21"/>
        </w:rPr>
        <w:t>移</w:t>
      </w:r>
      <w:r>
        <w:rPr>
          <w:rFonts w:ascii="Times New Roman" w:eastAsia="宋体" w:hAnsi="Times New Roman" w:cs="Times New Roman"/>
          <w:color w:val="000000" w:themeColor="text1"/>
          <w:szCs w:val="21"/>
        </w:rPr>
        <w:t>取</w:t>
      </w:r>
      <w:r>
        <w:rPr>
          <w:rFonts w:ascii="Times New Roman" w:eastAsia="宋体" w:hAnsi="Times New Roman" w:cs="Times New Roman" w:hint="eastAsia"/>
          <w:color w:val="000000" w:themeColor="text1"/>
          <w:szCs w:val="21"/>
        </w:rPr>
        <w:t>二甘醇</w:t>
      </w:r>
      <w:r>
        <w:rPr>
          <w:rFonts w:ascii="Times New Roman" w:eastAsia="宋体" w:hAnsi="Times New Roman" w:cs="Times New Roman"/>
          <w:color w:val="000000" w:themeColor="text1"/>
          <w:szCs w:val="21"/>
        </w:rPr>
        <w:t>标准中间溶液（</w:t>
      </w:r>
      <w:r>
        <w:rPr>
          <w:rFonts w:ascii="Times New Roman" w:eastAsia="宋体" w:hAnsi="Times New Roman" w:cs="Times New Roman"/>
          <w:color w:val="000000" w:themeColor="text1"/>
          <w:szCs w:val="21"/>
        </w:rPr>
        <w:t>3.5</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0.1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0.5</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6</w:t>
      </w:r>
      <w:r>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color w:val="000000" w:themeColor="text1"/>
          <w:szCs w:val="21"/>
        </w:rPr>
        <w:t>mL</w:t>
      </w:r>
      <w:r>
        <w:rPr>
          <w:rFonts w:ascii="Times New Roman" w:eastAsia="宋体" w:hAnsi="Times New Roman" w:cs="Times New Roman" w:hint="eastAsia"/>
          <w:color w:val="000000" w:themeColor="text1"/>
          <w:szCs w:val="21"/>
        </w:rPr>
        <w:t>，置于</w:t>
      </w:r>
      <w:r>
        <w:rPr>
          <w:rFonts w:ascii="Times New Roman" w:eastAsia="宋体" w:hAnsi="Times New Roman" w:cs="Times New Roman"/>
          <w:color w:val="000000" w:themeColor="text1"/>
          <w:szCs w:val="21"/>
        </w:rPr>
        <w:t>不同的</w:t>
      </w:r>
      <w:r>
        <w:rPr>
          <w:rFonts w:ascii="Times New Roman" w:eastAsia="宋体" w:hAnsi="Times New Roman" w:cs="Times New Roman" w:hint="eastAsia"/>
          <w:color w:val="000000" w:themeColor="text1"/>
          <w:szCs w:val="21"/>
        </w:rPr>
        <w:t xml:space="preserve">10 </w:t>
      </w:r>
      <w:r>
        <w:rPr>
          <w:rFonts w:ascii="Times New Roman" w:eastAsia="宋体" w:hAnsi="Times New Roman" w:cs="Times New Roman"/>
          <w:color w:val="000000" w:themeColor="text1"/>
          <w:szCs w:val="21"/>
        </w:rPr>
        <w:t>mL</w:t>
      </w:r>
      <w:r>
        <w:rPr>
          <w:rFonts w:ascii="Times New Roman" w:eastAsia="宋体" w:hAnsi="Times New Roman" w:cs="Times New Roman"/>
          <w:color w:val="000000" w:themeColor="text1"/>
          <w:szCs w:val="21"/>
        </w:rPr>
        <w:t>容量瓶中，分别精密加入</w:t>
      </w:r>
      <w:proofErr w:type="gramStart"/>
      <w:r>
        <w:rPr>
          <w:rFonts w:ascii="Times New Roman" w:eastAsia="宋体" w:hAnsi="Times New Roman" w:cs="Times New Roman" w:hint="eastAsia"/>
          <w:color w:val="000000" w:themeColor="text1"/>
          <w:szCs w:val="21"/>
        </w:rPr>
        <w:t>氘代二</w:t>
      </w:r>
      <w:proofErr w:type="gramEnd"/>
      <w:r>
        <w:rPr>
          <w:rFonts w:ascii="Times New Roman" w:eastAsia="宋体" w:hAnsi="Times New Roman" w:cs="Times New Roman" w:hint="eastAsia"/>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Times New Roman" w:eastAsia="宋体" w:hAnsi="Times New Roman" w:cs="Times New Roman"/>
          <w:color w:val="000000" w:themeColor="text1"/>
          <w:szCs w:val="21"/>
        </w:rPr>
        <w:t>内标储备溶液（</w:t>
      </w:r>
      <w:r>
        <w:rPr>
          <w:rFonts w:ascii="Times New Roman" w:eastAsia="宋体" w:hAnsi="Times New Roman" w:cs="Times New Roman"/>
          <w:color w:val="000000" w:themeColor="text1"/>
          <w:szCs w:val="21"/>
        </w:rPr>
        <w:t>3.6</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100</w:t>
      </w:r>
      <w:r>
        <w:rPr>
          <w:rFonts w:ascii="Times New Roman" w:eastAsia="宋体" w:hAnsi="Times New Roman" w:cs="Times New Roman"/>
          <w:color w:val="000000" w:themeColor="text1"/>
          <w:szCs w:val="21"/>
        </w:rPr>
        <w:t>μL</w:t>
      </w:r>
      <w:r>
        <w:rPr>
          <w:rFonts w:ascii="Times New Roman" w:eastAsia="宋体" w:hAnsi="Times New Roman" w:cs="Times New Roman"/>
          <w:color w:val="000000" w:themeColor="text1"/>
          <w:szCs w:val="21"/>
        </w:rPr>
        <w:t>，用甲醇</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3.2</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稀释至刻度，摇匀，配制</w:t>
      </w:r>
      <w:r>
        <w:rPr>
          <w:rFonts w:ascii="Times New Roman" w:eastAsia="宋体" w:hAnsi="Times New Roman" w:cs="Times New Roman" w:hint="eastAsia"/>
          <w:color w:val="000000" w:themeColor="text1"/>
          <w:szCs w:val="21"/>
        </w:rPr>
        <w:t>成</w:t>
      </w:r>
      <w:r>
        <w:rPr>
          <w:rFonts w:ascii="Times New Roman" w:eastAsia="宋体" w:hAnsi="Times New Roman" w:cs="Times New Roman"/>
          <w:color w:val="000000" w:themeColor="text1"/>
          <w:szCs w:val="21"/>
        </w:rPr>
        <w:t>二甘醇的</w:t>
      </w:r>
      <w:r>
        <w:rPr>
          <w:rFonts w:ascii="Times New Roman" w:eastAsia="宋体" w:hAnsi="Times New Roman" w:cs="Times New Roman" w:hint="eastAsia"/>
          <w:color w:val="000000" w:themeColor="text1"/>
          <w:szCs w:val="21"/>
        </w:rPr>
        <w:t>质量浓度</w:t>
      </w:r>
      <w:r>
        <w:rPr>
          <w:rFonts w:ascii="Times New Roman" w:eastAsia="宋体" w:hAnsi="Times New Roman" w:cs="Times New Roman"/>
          <w:color w:val="000000" w:themeColor="text1"/>
          <w:szCs w:val="21"/>
        </w:rPr>
        <w:t>分别为</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5</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10</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20</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40</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 xml:space="preserve">60 </w:t>
      </w:r>
      <w:r>
        <w:rPr>
          <w:rFonts w:ascii="Times New Roman" w:eastAsia="宋体" w:hAnsi="Times New Roman" w:cs="Times New Roman"/>
          <w:color w:val="000000" w:themeColor="text1"/>
          <w:szCs w:val="21"/>
        </w:rPr>
        <w:t>µg</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szCs w:val="21"/>
        </w:rPr>
        <w:t>mL</w:t>
      </w:r>
      <w:r>
        <w:rPr>
          <w:rFonts w:ascii="Times New Roman" w:eastAsia="宋体" w:hAnsi="Times New Roman" w:cs="Times New Roman"/>
          <w:color w:val="000000" w:themeColor="text1"/>
          <w:szCs w:val="21"/>
        </w:rPr>
        <w:t>的标准系列</w:t>
      </w:r>
      <w:r>
        <w:rPr>
          <w:rFonts w:ascii="Times New Roman" w:eastAsia="宋体" w:hAnsi="Times New Roman" w:cs="Times New Roman" w:hint="eastAsia"/>
          <w:color w:val="000000" w:themeColor="text1"/>
          <w:szCs w:val="21"/>
        </w:rPr>
        <w:t>溶液</w:t>
      </w:r>
      <w:r>
        <w:rPr>
          <w:rFonts w:ascii="Times New Roman" w:eastAsia="宋体" w:hAnsi="Times New Roman" w:cs="Times New Roman"/>
          <w:color w:val="000000" w:themeColor="text1"/>
          <w:szCs w:val="21"/>
        </w:rPr>
        <w:t>。</w:t>
      </w:r>
      <w:r>
        <w:rPr>
          <w:rFonts w:hAnsiTheme="minorEastAsia"/>
          <w:color w:val="000000" w:themeColor="text1"/>
          <w:kern w:val="0"/>
          <w:szCs w:val="21"/>
        </w:rPr>
        <w:t>标准</w:t>
      </w:r>
      <w:r>
        <w:rPr>
          <w:rFonts w:hAnsiTheme="minorEastAsia" w:hint="eastAsia"/>
          <w:color w:val="000000" w:themeColor="text1"/>
          <w:kern w:val="0"/>
          <w:szCs w:val="21"/>
        </w:rPr>
        <w:t>系列</w:t>
      </w:r>
      <w:r>
        <w:rPr>
          <w:rFonts w:hAnsiTheme="minorEastAsia"/>
          <w:color w:val="000000" w:themeColor="text1"/>
          <w:kern w:val="0"/>
          <w:szCs w:val="21"/>
        </w:rPr>
        <w:t>溶液的浓度范围可根据实际情况进行调整。</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5.2  </w:t>
      </w:r>
      <w:r>
        <w:rPr>
          <w:rFonts w:ascii="Times New Roman" w:eastAsia="宋体" w:hAnsi="Times New Roman" w:cs="Times New Roman"/>
          <w:bCs/>
          <w:color w:val="000000" w:themeColor="text1"/>
          <w:szCs w:val="21"/>
        </w:rPr>
        <w:t>样品处理</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称取</w:t>
      </w:r>
      <w:r>
        <w:rPr>
          <w:rFonts w:ascii="Times New Roman" w:eastAsia="宋体" w:hAnsi="Times New Roman" w:cs="Times New Roman"/>
          <w:szCs w:val="21"/>
        </w:rPr>
        <w:t>样品</w:t>
      </w:r>
      <w:r>
        <w:rPr>
          <w:rFonts w:ascii="Times New Roman" w:eastAsia="宋体" w:hAnsi="Times New Roman" w:cs="Times New Roman" w:hint="eastAsia"/>
          <w:szCs w:val="21"/>
        </w:rPr>
        <w:t xml:space="preserve">0.5 </w:t>
      </w:r>
      <w:r>
        <w:rPr>
          <w:rFonts w:ascii="Times New Roman" w:eastAsia="宋体" w:hAnsi="Times New Roman" w:cs="Times New Roman"/>
          <w:szCs w:val="21"/>
        </w:rPr>
        <w:t>g</w:t>
      </w:r>
      <w:r>
        <w:rPr>
          <w:rFonts w:ascii="Times New Roman" w:eastAsia="宋体" w:hAnsi="Times New Roman" w:cs="Times New Roman"/>
          <w:szCs w:val="21"/>
        </w:rPr>
        <w:t>（精确到</w:t>
      </w:r>
      <w:r>
        <w:rPr>
          <w:rFonts w:ascii="Times New Roman" w:eastAsia="宋体" w:hAnsi="Times New Roman" w:cs="Times New Roman"/>
          <w:szCs w:val="21"/>
        </w:rPr>
        <w:t>0.001 g</w:t>
      </w:r>
      <w:r>
        <w:rPr>
          <w:rFonts w:ascii="Times New Roman" w:eastAsia="宋体" w:hAnsi="Times New Roman" w:cs="Times New Roman"/>
          <w:szCs w:val="21"/>
        </w:rPr>
        <w:t>）于</w:t>
      </w:r>
      <w:r>
        <w:rPr>
          <w:rFonts w:ascii="Times New Roman" w:eastAsia="宋体" w:hAnsi="Times New Roman" w:cs="Times New Roman" w:hint="eastAsia"/>
          <w:szCs w:val="21"/>
        </w:rPr>
        <w:t>10 mL</w:t>
      </w:r>
      <w:proofErr w:type="gramStart"/>
      <w:r>
        <w:rPr>
          <w:rFonts w:ascii="Times New Roman" w:eastAsia="宋体" w:hAnsi="Times New Roman" w:cs="Times New Roman" w:hint="eastAsia"/>
          <w:szCs w:val="21"/>
        </w:rPr>
        <w:t>具塞比色</w:t>
      </w:r>
      <w:proofErr w:type="gramEnd"/>
      <w:r>
        <w:rPr>
          <w:rFonts w:ascii="Times New Roman" w:eastAsia="宋体" w:hAnsi="Times New Roman" w:cs="Times New Roman" w:hint="eastAsia"/>
          <w:szCs w:val="21"/>
        </w:rPr>
        <w:t>管中</w:t>
      </w:r>
      <w:r>
        <w:rPr>
          <w:rFonts w:ascii="Times New Roman" w:eastAsia="宋体" w:hAnsi="Times New Roman" w:cs="Times New Roman"/>
          <w:szCs w:val="21"/>
        </w:rPr>
        <w:t>，加入</w:t>
      </w:r>
      <w:r>
        <w:rPr>
          <w:rFonts w:ascii="Times New Roman" w:eastAsia="宋体" w:hAnsi="Times New Roman" w:cs="Times New Roman" w:hint="eastAsia"/>
          <w:szCs w:val="21"/>
        </w:rPr>
        <w:t xml:space="preserve">4 </w:t>
      </w:r>
      <w:r>
        <w:rPr>
          <w:rFonts w:ascii="Times New Roman" w:eastAsia="宋体" w:hAnsi="Times New Roman" w:cs="Times New Roman"/>
          <w:szCs w:val="21"/>
        </w:rPr>
        <w:t>mL</w:t>
      </w:r>
      <w:r>
        <w:rPr>
          <w:rFonts w:ascii="Times New Roman" w:eastAsia="宋体" w:hAnsi="Times New Roman" w:cs="Times New Roman"/>
          <w:szCs w:val="21"/>
        </w:rPr>
        <w:t>甲醇</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3.2</w:t>
      </w:r>
      <w:r>
        <w:rPr>
          <w:rFonts w:ascii="Times New Roman" w:eastAsia="宋体" w:hAnsi="Times New Roman" w:cs="Times New Roman" w:hint="eastAsia"/>
          <w:color w:val="000000" w:themeColor="text1"/>
          <w:szCs w:val="21"/>
        </w:rPr>
        <w:t>）</w:t>
      </w:r>
      <w:r>
        <w:rPr>
          <w:rFonts w:ascii="Times New Roman" w:eastAsia="宋体" w:hAnsi="Times New Roman" w:cs="Times New Roman"/>
          <w:szCs w:val="21"/>
        </w:rPr>
        <w:t>，涡旋混匀</w:t>
      </w:r>
      <w:r>
        <w:rPr>
          <w:rFonts w:ascii="Times New Roman" w:eastAsia="宋体" w:hAnsi="Times New Roman" w:cs="Times New Roman"/>
          <w:szCs w:val="21"/>
        </w:rPr>
        <w:t>1 min</w:t>
      </w:r>
      <w:r>
        <w:rPr>
          <w:rFonts w:ascii="Times New Roman" w:eastAsia="宋体" w:hAnsi="Times New Roman" w:cs="Times New Roman"/>
          <w:szCs w:val="21"/>
        </w:rPr>
        <w:t>，超声</w:t>
      </w:r>
      <w:r>
        <w:rPr>
          <w:rFonts w:ascii="Times New Roman" w:eastAsia="宋体" w:hAnsi="Times New Roman" w:cs="Times New Roman" w:hint="eastAsia"/>
          <w:szCs w:val="21"/>
        </w:rPr>
        <w:t>提取</w:t>
      </w:r>
      <w:r>
        <w:rPr>
          <w:rFonts w:ascii="Times New Roman" w:eastAsia="宋体" w:hAnsi="Times New Roman" w:cs="Times New Roman"/>
          <w:szCs w:val="21"/>
        </w:rPr>
        <w:t>20 m</w:t>
      </w:r>
      <w:r>
        <w:rPr>
          <w:rFonts w:ascii="Times New Roman" w:eastAsia="宋体" w:hAnsi="Times New Roman" w:cs="Times New Roman"/>
          <w:color w:val="000000" w:themeColor="text1"/>
          <w:szCs w:val="21"/>
        </w:rPr>
        <w:t>in</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冷却至室温，然后</w:t>
      </w:r>
      <w:r>
        <w:rPr>
          <w:rFonts w:ascii="Times New Roman" w:eastAsia="宋体" w:hAnsi="Times New Roman" w:cs="Times New Roman"/>
          <w:szCs w:val="21"/>
        </w:rPr>
        <w:t>精密加入</w:t>
      </w:r>
      <w:proofErr w:type="gramStart"/>
      <w:r>
        <w:rPr>
          <w:rFonts w:ascii="Times New Roman" w:eastAsia="宋体" w:hAnsi="Times New Roman" w:cs="Times New Roman" w:hint="eastAsia"/>
          <w:color w:val="000000" w:themeColor="text1"/>
          <w:szCs w:val="21"/>
        </w:rPr>
        <w:t>氘代二</w:t>
      </w:r>
      <w:proofErr w:type="gramEnd"/>
      <w:r>
        <w:rPr>
          <w:rFonts w:ascii="Times New Roman" w:eastAsia="宋体" w:hAnsi="Times New Roman" w:cs="Times New Roman" w:hint="eastAsia"/>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Times New Roman" w:eastAsia="宋体" w:hAnsi="Times New Roman" w:cs="Times New Roman"/>
          <w:szCs w:val="21"/>
        </w:rPr>
        <w:t>内标储备溶液（</w:t>
      </w:r>
      <w:r>
        <w:rPr>
          <w:rFonts w:ascii="Times New Roman" w:eastAsia="宋体" w:hAnsi="Times New Roman" w:cs="Times New Roman"/>
          <w:szCs w:val="21"/>
        </w:rPr>
        <w:t>3.6</w:t>
      </w:r>
      <w:r>
        <w:rPr>
          <w:rFonts w:ascii="Times New Roman" w:eastAsia="宋体" w:hAnsi="Times New Roman" w:cs="Times New Roman"/>
          <w:szCs w:val="21"/>
        </w:rPr>
        <w:t>）</w:t>
      </w:r>
      <w:r>
        <w:rPr>
          <w:rFonts w:ascii="Times New Roman" w:eastAsia="宋体" w:hAnsi="Times New Roman" w:cs="Times New Roman" w:hint="eastAsia"/>
          <w:szCs w:val="21"/>
        </w:rPr>
        <w:t>50</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μL</w:t>
      </w:r>
      <w:proofErr w:type="spellEnd"/>
      <w:r>
        <w:rPr>
          <w:rFonts w:ascii="Times New Roman" w:eastAsia="宋体" w:hAnsi="Times New Roman" w:cs="Times New Roman" w:hint="eastAsia"/>
          <w:szCs w:val="21"/>
        </w:rPr>
        <w:t>，用</w:t>
      </w:r>
      <w:r>
        <w:rPr>
          <w:rFonts w:ascii="Times New Roman" w:eastAsia="宋体" w:hAnsi="Times New Roman" w:cs="Times New Roman"/>
          <w:szCs w:val="21"/>
        </w:rPr>
        <w:t>甲醇</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3.2</w:t>
      </w:r>
      <w:r>
        <w:rPr>
          <w:rFonts w:ascii="Times New Roman" w:eastAsia="宋体" w:hAnsi="Times New Roman" w:cs="Times New Roman" w:hint="eastAsia"/>
          <w:color w:val="000000" w:themeColor="text1"/>
          <w:szCs w:val="21"/>
        </w:rPr>
        <w:t>）</w:t>
      </w:r>
      <w:proofErr w:type="gramStart"/>
      <w:r>
        <w:rPr>
          <w:rFonts w:ascii="Times New Roman" w:eastAsia="宋体" w:hAnsi="Times New Roman" w:cs="Times New Roman" w:hint="eastAsia"/>
          <w:szCs w:val="21"/>
        </w:rPr>
        <w:t>定容至</w:t>
      </w:r>
      <w:proofErr w:type="gramEnd"/>
      <w:r>
        <w:rPr>
          <w:rFonts w:ascii="Times New Roman" w:eastAsia="宋体" w:hAnsi="Times New Roman" w:cs="Times New Roman" w:hint="eastAsia"/>
          <w:szCs w:val="21"/>
        </w:rPr>
        <w:t>5 mL</w:t>
      </w:r>
      <w:r>
        <w:rPr>
          <w:rFonts w:ascii="Times New Roman" w:eastAsia="宋体" w:hAnsi="Times New Roman" w:cs="Times New Roman" w:hint="eastAsia"/>
          <w:szCs w:val="21"/>
        </w:rPr>
        <w:t>，</w:t>
      </w:r>
      <w:r>
        <w:rPr>
          <w:rFonts w:ascii="Times New Roman" w:eastAsia="宋体" w:hAnsi="Times New Roman" w:cs="Times New Roman"/>
          <w:szCs w:val="21"/>
        </w:rPr>
        <w:t>涡旋</w:t>
      </w:r>
      <w:r>
        <w:rPr>
          <w:rFonts w:ascii="Times New Roman" w:eastAsia="宋体" w:hAnsi="Times New Roman" w:cs="Times New Roman" w:hint="eastAsia"/>
          <w:szCs w:val="21"/>
        </w:rPr>
        <w:t>混匀。</w:t>
      </w:r>
      <w:r>
        <w:rPr>
          <w:rFonts w:ascii="Times New Roman" w:eastAsia="宋体" w:hAnsi="Times New Roman" w:cs="Times New Roman"/>
          <w:szCs w:val="21"/>
        </w:rPr>
        <w:t>加入</w:t>
      </w:r>
      <w:r>
        <w:rPr>
          <w:rFonts w:ascii="Times New Roman" w:eastAsia="宋体" w:hAnsi="Times New Roman" w:cs="Times New Roman"/>
          <w:szCs w:val="21"/>
        </w:rPr>
        <w:t>1 g</w:t>
      </w:r>
      <w:r>
        <w:rPr>
          <w:rFonts w:ascii="Times New Roman" w:eastAsia="宋体" w:hAnsi="Times New Roman" w:cs="Times New Roman"/>
          <w:szCs w:val="21"/>
        </w:rPr>
        <w:t>无水硫酸钠</w:t>
      </w:r>
      <w:r>
        <w:rPr>
          <w:rFonts w:ascii="Times New Roman" w:hAnsi="Times New Roman"/>
          <w:color w:val="000000"/>
          <w:kern w:val="0"/>
          <w:szCs w:val="21"/>
          <w:lang w:bidi="en-US"/>
        </w:rPr>
        <w:t>（</w:t>
      </w:r>
      <w:r>
        <w:rPr>
          <w:rFonts w:ascii="Times New Roman" w:hAnsi="Times New Roman"/>
          <w:color w:val="000000"/>
          <w:kern w:val="0"/>
          <w:szCs w:val="21"/>
          <w:lang w:bidi="en-US"/>
        </w:rPr>
        <w:t>3.</w:t>
      </w:r>
      <w:r>
        <w:rPr>
          <w:rFonts w:ascii="Times New Roman" w:hAnsi="Times New Roman" w:hint="eastAsia"/>
          <w:color w:val="000000"/>
          <w:kern w:val="0"/>
          <w:szCs w:val="21"/>
          <w:lang w:bidi="en-US"/>
        </w:rPr>
        <w:t>3</w:t>
      </w:r>
      <w:r>
        <w:rPr>
          <w:rFonts w:ascii="Times New Roman" w:hAnsi="Times New Roman"/>
          <w:color w:val="000000"/>
          <w:kern w:val="0"/>
          <w:szCs w:val="21"/>
          <w:lang w:bidi="en-US"/>
        </w:rPr>
        <w:t>）</w:t>
      </w:r>
      <w:r>
        <w:rPr>
          <w:rFonts w:ascii="Times New Roman" w:eastAsia="宋体" w:hAnsi="Times New Roman" w:cs="Times New Roman"/>
          <w:szCs w:val="21"/>
        </w:rPr>
        <w:t>涡旋振荡</w:t>
      </w:r>
      <w:r>
        <w:rPr>
          <w:rFonts w:ascii="Times New Roman" w:eastAsia="宋体" w:hAnsi="Times New Roman" w:cs="Times New Roman"/>
          <w:szCs w:val="21"/>
        </w:rPr>
        <w:t>1 min</w:t>
      </w:r>
      <w:r>
        <w:rPr>
          <w:rFonts w:ascii="Times New Roman" w:eastAsia="宋体" w:hAnsi="Times New Roman" w:cs="Times New Roman"/>
          <w:szCs w:val="21"/>
        </w:rPr>
        <w:t>，</w:t>
      </w:r>
      <w:r>
        <w:rPr>
          <w:rFonts w:ascii="Times New Roman" w:eastAsia="宋体" w:hAnsi="Times New Roman" w:cs="Times New Roman" w:hint="eastAsia"/>
          <w:szCs w:val="21"/>
        </w:rPr>
        <w:t>将样品溶液转入</w:t>
      </w:r>
      <w:r>
        <w:rPr>
          <w:rFonts w:ascii="Times New Roman" w:eastAsia="宋体" w:hAnsi="Times New Roman" w:cs="Times New Roman" w:hint="eastAsia"/>
          <w:szCs w:val="21"/>
        </w:rPr>
        <w:t>15 mL</w:t>
      </w:r>
      <w:r>
        <w:rPr>
          <w:rFonts w:ascii="Times New Roman" w:eastAsia="宋体" w:hAnsi="Times New Roman" w:cs="Times New Roman"/>
          <w:color w:val="000000" w:themeColor="text1"/>
          <w:szCs w:val="21"/>
        </w:rPr>
        <w:t xml:space="preserve"> </w:t>
      </w:r>
      <w:r>
        <w:rPr>
          <w:rFonts w:ascii="Times New Roman" w:eastAsia="宋体" w:hAnsi="Times New Roman" w:cs="Times New Roman" w:hint="eastAsia"/>
          <w:color w:val="000000" w:themeColor="text1"/>
          <w:szCs w:val="21"/>
        </w:rPr>
        <w:t>离心管，</w:t>
      </w:r>
      <w:r>
        <w:rPr>
          <w:rFonts w:ascii="Times New Roman" w:eastAsia="宋体" w:hAnsi="Times New Roman" w:cs="Times New Roman"/>
          <w:color w:val="000000" w:themeColor="text1"/>
          <w:szCs w:val="21"/>
        </w:rPr>
        <w:t xml:space="preserve">8000 </w:t>
      </w:r>
      <w:r>
        <w:rPr>
          <w:rFonts w:ascii="Times New Roman" w:eastAsia="宋体" w:hAnsi="Times New Roman" w:cs="Times New Roman"/>
          <w:color w:val="000000" w:themeColor="text1"/>
          <w:kern w:val="0"/>
          <w:szCs w:val="21"/>
        </w:rPr>
        <w:t>r/min</w:t>
      </w:r>
      <w:r>
        <w:rPr>
          <w:rFonts w:ascii="Times New Roman" w:eastAsia="宋体" w:hAnsi="Times New Roman" w:cs="Times New Roman"/>
          <w:color w:val="000000" w:themeColor="text1"/>
          <w:szCs w:val="21"/>
        </w:rPr>
        <w:t>离心</w:t>
      </w:r>
      <w:r>
        <w:rPr>
          <w:rFonts w:ascii="Times New Roman" w:eastAsia="宋体" w:hAnsi="Times New Roman" w:cs="Times New Roman"/>
          <w:color w:val="000000" w:themeColor="text1"/>
          <w:szCs w:val="21"/>
        </w:rPr>
        <w:t>10 min</w:t>
      </w:r>
      <w:r>
        <w:rPr>
          <w:rFonts w:ascii="Times New Roman" w:eastAsia="宋体" w:hAnsi="Times New Roman" w:cs="Times New Roman"/>
          <w:color w:val="000000" w:themeColor="text1"/>
          <w:szCs w:val="21"/>
        </w:rPr>
        <w:t>，取上清液经</w:t>
      </w:r>
      <w:r>
        <w:rPr>
          <w:rFonts w:ascii="Times New Roman" w:eastAsia="宋体" w:hAnsi="Times New Roman" w:cs="Times New Roman"/>
          <w:color w:val="000000" w:themeColor="text1"/>
          <w:szCs w:val="21"/>
        </w:rPr>
        <w:t>0.22μm</w:t>
      </w:r>
      <w:r>
        <w:rPr>
          <w:rFonts w:ascii="Times New Roman" w:eastAsia="宋体" w:hAnsi="Times New Roman" w:cs="Times New Roman"/>
          <w:color w:val="000000" w:themeColor="text1"/>
          <w:szCs w:val="21"/>
        </w:rPr>
        <w:t>滤膜过滤，滤液作为待测溶液。</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5.3  </w:t>
      </w:r>
      <w:r>
        <w:rPr>
          <w:rFonts w:ascii="Times New Roman" w:eastAsia="宋体" w:hAnsi="Times New Roman" w:cs="Times New Roman"/>
          <w:bCs/>
          <w:color w:val="000000" w:themeColor="text1"/>
          <w:szCs w:val="21"/>
        </w:rPr>
        <w:t>仪器参考条件</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5.3.1  </w:t>
      </w:r>
      <w:r>
        <w:rPr>
          <w:rFonts w:ascii="Times New Roman" w:eastAsia="宋体" w:hAnsi="Times New Roman" w:cs="Times New Roman"/>
          <w:bCs/>
          <w:color w:val="000000" w:themeColor="text1"/>
          <w:szCs w:val="21"/>
        </w:rPr>
        <w:t>色谱条件</w:t>
      </w:r>
    </w:p>
    <w:p w:rsidR="00D030B4" w:rsidRDefault="004248DB">
      <w:pPr>
        <w:snapToGrid w:val="0"/>
        <w:spacing w:beforeLines="50" w:before="156" w:afterLines="50" w:after="156" w:line="300" w:lineRule="auto"/>
        <w:ind w:firstLine="420"/>
        <w:rPr>
          <w:rFonts w:ascii="Times New Roman" w:eastAsia="宋体" w:hAnsi="Times New Roman" w:cs="Times New Roman"/>
          <w:szCs w:val="21"/>
        </w:rPr>
      </w:pPr>
      <w:r>
        <w:rPr>
          <w:rFonts w:ascii="Times New Roman" w:eastAsia="宋体" w:hAnsi="Times New Roman" w:cs="Times New Roman"/>
          <w:color w:val="000000" w:themeColor="text1"/>
          <w:szCs w:val="21"/>
        </w:rPr>
        <w:t>色谱柱</w:t>
      </w:r>
      <w:r>
        <w:rPr>
          <w:rFonts w:ascii="Times New Roman" w:eastAsia="宋体" w:hAnsi="Times New Roman" w:cs="Times New Roman"/>
          <w:szCs w:val="21"/>
        </w:rPr>
        <w:t>：</w:t>
      </w:r>
      <w:proofErr w:type="gramStart"/>
      <w:r>
        <w:rPr>
          <w:rFonts w:ascii="Times New Roman" w:eastAsia="宋体" w:hAnsi="Times New Roman" w:cs="Times New Roman"/>
          <w:szCs w:val="21"/>
        </w:rPr>
        <w:t>键合</w:t>
      </w:r>
      <w:proofErr w:type="gramEnd"/>
      <w:r>
        <w:rPr>
          <w:rFonts w:ascii="Times New Roman" w:eastAsia="宋体" w:hAnsi="Times New Roman" w:cs="Times New Roman"/>
          <w:szCs w:val="21"/>
        </w:rPr>
        <w:t>6%</w:t>
      </w:r>
      <w:proofErr w:type="gramStart"/>
      <w:r>
        <w:rPr>
          <w:rFonts w:ascii="Times New Roman" w:eastAsia="宋体" w:hAnsi="Times New Roman" w:cs="Times New Roman"/>
          <w:szCs w:val="21"/>
        </w:rPr>
        <w:t>氰丙基</w:t>
      </w:r>
      <w:proofErr w:type="gramEnd"/>
      <w:r>
        <w:rPr>
          <w:rFonts w:ascii="Times New Roman" w:eastAsia="宋体" w:hAnsi="Times New Roman" w:cs="Times New Roman"/>
          <w:szCs w:val="21"/>
        </w:rPr>
        <w:t>苯基</w:t>
      </w:r>
      <w:r>
        <w:rPr>
          <w:rFonts w:ascii="Times New Roman" w:eastAsia="宋体" w:hAnsi="Times New Roman" w:cs="Times New Roman"/>
          <w:szCs w:val="21"/>
        </w:rPr>
        <w:t>-</w:t>
      </w:r>
      <w:r w:rsidRPr="00D2424F">
        <w:rPr>
          <w:rFonts w:ascii="Times New Roman" w:eastAsia="宋体" w:hAnsi="Times New Roman" w:cs="Times New Roman"/>
          <w:szCs w:val="21"/>
        </w:rPr>
        <w:t>9</w:t>
      </w:r>
      <w:r w:rsidRPr="00D2424F">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szCs w:val="21"/>
        </w:rPr>
        <w:t>二甲基聚硅氧烷的毛细管柱</w:t>
      </w:r>
      <w:r>
        <w:rPr>
          <w:rFonts w:ascii="Times New Roman" w:eastAsia="宋体" w:hAnsi="Times New Roman" w:cs="Times New Roman"/>
          <w:szCs w:val="21"/>
        </w:rPr>
        <w:t>D</w:t>
      </w:r>
      <w:r>
        <w:rPr>
          <w:rFonts w:ascii="Times New Roman" w:eastAsia="宋体" w:hAnsi="Times New Roman" w:cs="Times New Roman" w:hint="eastAsia"/>
          <w:szCs w:val="21"/>
        </w:rPr>
        <w:t>M</w:t>
      </w:r>
      <w:r>
        <w:rPr>
          <w:rFonts w:ascii="Times New Roman" w:eastAsia="宋体" w:hAnsi="Times New Roman" w:cs="Times New Roman"/>
          <w:szCs w:val="21"/>
        </w:rPr>
        <w:t xml:space="preserve">-624ms </w:t>
      </w:r>
      <w:r>
        <w:rPr>
          <w:rFonts w:ascii="Times New Roman" w:eastAsia="宋体" w:hAnsi="Times New Roman" w:cs="Times New Roman"/>
          <w:szCs w:val="21"/>
        </w:rPr>
        <w:t>（</w:t>
      </w:r>
      <w:r>
        <w:rPr>
          <w:rFonts w:ascii="Times New Roman" w:eastAsia="宋体" w:hAnsi="Times New Roman" w:cs="Times New Roman"/>
          <w:szCs w:val="21"/>
        </w:rPr>
        <w:t xml:space="preserve">30 m×320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w:t>
      </w:r>
      <w:r>
        <w:rPr>
          <w:rFonts w:ascii="Times New Roman" w:eastAsia="宋体" w:hAnsi="Times New Roman" w:cs="Times New Roman"/>
          <w:szCs w:val="21"/>
        </w:rPr>
        <w:t xml:space="preserve">1.8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），或等效色谱柱；</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进样口温度：</w:t>
      </w:r>
      <w:r>
        <w:rPr>
          <w:rFonts w:ascii="Times New Roman" w:eastAsia="宋体" w:hAnsi="Times New Roman" w:cs="Times New Roman"/>
          <w:color w:val="000000" w:themeColor="text1"/>
          <w:szCs w:val="21"/>
        </w:rPr>
        <w:t>280℃</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szCs w:val="21"/>
        </w:rPr>
      </w:pPr>
      <w:r>
        <w:rPr>
          <w:rFonts w:ascii="Times New Roman" w:eastAsia="宋体" w:hAnsi="Times New Roman" w:cs="Times New Roman"/>
          <w:szCs w:val="21"/>
        </w:rPr>
        <w:t>检测器温度：</w:t>
      </w:r>
      <w:r>
        <w:rPr>
          <w:rFonts w:ascii="Times New Roman" w:eastAsia="宋体" w:hAnsi="Times New Roman" w:cs="Times New Roman"/>
          <w:szCs w:val="21"/>
        </w:rPr>
        <w:t>280 ℃</w:t>
      </w:r>
      <w:r>
        <w:rPr>
          <w:rFonts w:ascii="Times New Roman" w:eastAsia="宋体" w:hAnsi="Times New Roman" w:cs="Times New Roman"/>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升温程序：</w:t>
      </w:r>
      <w:r>
        <w:rPr>
          <w:rFonts w:ascii="Times New Roman" w:eastAsia="宋体" w:hAnsi="Times New Roman" w:cs="Times New Roman" w:hint="eastAsia"/>
          <w:color w:val="000000" w:themeColor="text1"/>
          <w:szCs w:val="21"/>
        </w:rPr>
        <w:t>初始温度</w:t>
      </w:r>
      <w:r>
        <w:rPr>
          <w:rFonts w:ascii="Times New Roman" w:eastAsia="宋体" w:hAnsi="Times New Roman" w:cs="Times New Roman"/>
          <w:color w:val="000000" w:themeColor="text1"/>
          <w:szCs w:val="21"/>
        </w:rPr>
        <w:t>80 ℃</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保持</w:t>
      </w:r>
      <w:r>
        <w:rPr>
          <w:rFonts w:ascii="Times New Roman" w:eastAsia="宋体" w:hAnsi="Times New Roman" w:cs="Times New Roman"/>
          <w:color w:val="000000" w:themeColor="text1"/>
          <w:szCs w:val="21"/>
        </w:rPr>
        <w:t>3 min</w:t>
      </w:r>
      <w:r>
        <w:rPr>
          <w:rFonts w:ascii="Times New Roman" w:eastAsia="宋体" w:hAnsi="Times New Roman" w:cs="Times New Roman"/>
          <w:color w:val="000000" w:themeColor="text1"/>
          <w:szCs w:val="21"/>
        </w:rPr>
        <w:t>，以</w:t>
      </w:r>
      <w:r>
        <w:rPr>
          <w:rFonts w:ascii="Times New Roman" w:eastAsia="宋体" w:hAnsi="Times New Roman" w:cs="Times New Roman"/>
          <w:color w:val="000000" w:themeColor="text1"/>
          <w:szCs w:val="21"/>
        </w:rPr>
        <w:t>8 ℃</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szCs w:val="21"/>
        </w:rPr>
        <w:t>min</w:t>
      </w:r>
      <w:r>
        <w:rPr>
          <w:rFonts w:ascii="Times New Roman" w:eastAsia="宋体" w:hAnsi="Times New Roman" w:cs="Times New Roman"/>
          <w:color w:val="000000" w:themeColor="text1"/>
          <w:szCs w:val="21"/>
        </w:rPr>
        <w:t>升至</w:t>
      </w:r>
      <w:r>
        <w:rPr>
          <w:rFonts w:ascii="Times New Roman" w:eastAsia="宋体" w:hAnsi="Times New Roman" w:cs="Times New Roman"/>
          <w:color w:val="000000" w:themeColor="text1"/>
          <w:szCs w:val="21"/>
        </w:rPr>
        <w:t>180 ℃</w:t>
      </w:r>
      <w:r>
        <w:rPr>
          <w:rFonts w:ascii="Times New Roman" w:eastAsia="宋体" w:hAnsi="Times New Roman" w:cs="Times New Roman"/>
          <w:color w:val="000000" w:themeColor="text1"/>
          <w:szCs w:val="21"/>
        </w:rPr>
        <w:t>，保持</w:t>
      </w:r>
      <w:r>
        <w:rPr>
          <w:rFonts w:ascii="Times New Roman" w:eastAsia="宋体" w:hAnsi="Times New Roman" w:cs="Times New Roman"/>
          <w:color w:val="000000" w:themeColor="text1"/>
          <w:szCs w:val="21"/>
        </w:rPr>
        <w:t>2 min</w:t>
      </w:r>
      <w:r>
        <w:rPr>
          <w:rFonts w:ascii="Times New Roman" w:eastAsia="宋体" w:hAnsi="Times New Roman" w:cs="Times New Roman"/>
          <w:color w:val="000000" w:themeColor="text1"/>
          <w:szCs w:val="21"/>
        </w:rPr>
        <w:t>，再以</w:t>
      </w:r>
      <w:r>
        <w:rPr>
          <w:rFonts w:ascii="Times New Roman" w:eastAsia="宋体" w:hAnsi="Times New Roman" w:cs="Times New Roman"/>
          <w:color w:val="000000" w:themeColor="text1"/>
          <w:szCs w:val="21"/>
        </w:rPr>
        <w:t>20 ℃</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szCs w:val="21"/>
        </w:rPr>
        <w:t>min</w:t>
      </w:r>
      <w:r>
        <w:rPr>
          <w:rFonts w:ascii="Times New Roman" w:eastAsia="宋体" w:hAnsi="Times New Roman" w:cs="Times New Roman"/>
          <w:color w:val="000000" w:themeColor="text1"/>
          <w:szCs w:val="21"/>
        </w:rPr>
        <w:t>升至</w:t>
      </w:r>
      <w:r>
        <w:rPr>
          <w:rFonts w:ascii="Times New Roman" w:eastAsia="宋体" w:hAnsi="Times New Roman" w:cs="Times New Roman"/>
          <w:color w:val="000000" w:themeColor="text1"/>
          <w:szCs w:val="21"/>
        </w:rPr>
        <w:t>250 ℃</w:t>
      </w:r>
      <w:r>
        <w:rPr>
          <w:rFonts w:ascii="Times New Roman" w:eastAsia="宋体" w:hAnsi="Times New Roman" w:cs="Times New Roman"/>
          <w:color w:val="000000" w:themeColor="text1"/>
          <w:szCs w:val="21"/>
        </w:rPr>
        <w:t>，保持</w:t>
      </w:r>
      <w:r>
        <w:rPr>
          <w:rFonts w:ascii="Times New Roman" w:eastAsia="宋体" w:hAnsi="Times New Roman" w:cs="Times New Roman"/>
          <w:color w:val="000000" w:themeColor="text1"/>
          <w:szCs w:val="21"/>
        </w:rPr>
        <w:t>5 min</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可根据实际情况适当调整升温程序；</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载气：氦气</w:t>
      </w:r>
      <w:r>
        <w:rPr>
          <w:rFonts w:ascii="Times New Roman" w:eastAsia="宋体" w:hAnsi="Times New Roman" w:cs="Times New Roman" w:hint="eastAsia"/>
          <w:color w:val="000000" w:themeColor="text1"/>
          <w:szCs w:val="21"/>
        </w:rPr>
        <w:t>，纯度</w:t>
      </w:r>
      <w:r>
        <w:rPr>
          <w:rFonts w:ascii="Times New Roman" w:hAnsi="Times New Roman" w:cs="Times New Roman" w:hint="eastAsia"/>
          <w:szCs w:val="21"/>
        </w:rPr>
        <w:t>≥</w:t>
      </w:r>
      <w:r>
        <w:rPr>
          <w:rFonts w:ascii="Times New Roman" w:eastAsia="宋体" w:hAnsi="Times New Roman" w:cs="Times New Roman"/>
          <w:color w:val="000000" w:themeColor="text1"/>
          <w:szCs w:val="21"/>
        </w:rPr>
        <w:t>99.999%</w:t>
      </w:r>
      <w:r>
        <w:rPr>
          <w:rFonts w:ascii="Times New Roman" w:eastAsia="宋体" w:hAnsi="Times New Roman" w:cs="Times New Roman" w:hint="eastAsia"/>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流速</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2.0 mL</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szCs w:val="21"/>
        </w:rPr>
        <w:t>min</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进样方式：分流进样，</w:t>
      </w:r>
      <w:r>
        <w:rPr>
          <w:rFonts w:ascii="Times New Roman" w:eastAsia="宋体" w:hAnsi="Times New Roman" w:cs="Times New Roman" w:hint="eastAsia"/>
          <w:color w:val="000000" w:themeColor="text1"/>
          <w:szCs w:val="21"/>
        </w:rPr>
        <w:t>分流比</w:t>
      </w:r>
      <w:r>
        <w:rPr>
          <w:rFonts w:ascii="Times New Roman" w:eastAsia="宋体" w:hAnsi="Times New Roman" w:cs="Times New Roman"/>
          <w:color w:val="000000" w:themeColor="text1"/>
          <w:szCs w:val="21"/>
        </w:rPr>
        <w:t>10:1</w:t>
      </w:r>
      <w:r>
        <w:rPr>
          <w:rFonts w:ascii="Times New Roman" w:eastAsia="宋体" w:hAnsi="Times New Roman" w:cs="Times New Roman" w:hint="eastAsia"/>
          <w:color w:val="000000" w:themeColor="text1"/>
          <w:szCs w:val="21"/>
        </w:rPr>
        <w:t>（分流比可根据实际情况调整）</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进样量：</w:t>
      </w:r>
      <w:r>
        <w:rPr>
          <w:rFonts w:ascii="Times New Roman" w:eastAsia="宋体" w:hAnsi="Times New Roman" w:cs="Times New Roman"/>
          <w:color w:val="000000" w:themeColor="text1"/>
          <w:szCs w:val="21"/>
        </w:rPr>
        <w:t xml:space="preserve">1 </w:t>
      </w:r>
      <w:proofErr w:type="spellStart"/>
      <w:r>
        <w:rPr>
          <w:rFonts w:ascii="Times New Roman" w:eastAsia="宋体" w:hAnsi="Times New Roman" w:cs="Times New Roman"/>
          <w:color w:val="000000" w:themeColor="text1"/>
          <w:szCs w:val="21"/>
        </w:rPr>
        <w:t>μL</w:t>
      </w:r>
      <w:proofErr w:type="spellEnd"/>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5.3.2  </w:t>
      </w:r>
      <w:r>
        <w:rPr>
          <w:rFonts w:ascii="Times New Roman" w:eastAsia="宋体" w:hAnsi="Times New Roman" w:cs="Times New Roman"/>
          <w:bCs/>
          <w:color w:val="000000" w:themeColor="text1"/>
          <w:szCs w:val="21"/>
        </w:rPr>
        <w:t>质谱条件</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离子源：电子轰击</w:t>
      </w:r>
      <w:r>
        <w:rPr>
          <w:rFonts w:ascii="Times New Roman" w:eastAsia="宋体" w:hAnsi="Times New Roman" w:cs="Times New Roman" w:hint="eastAsia"/>
          <w:color w:val="000000" w:themeColor="text1"/>
          <w:szCs w:val="21"/>
        </w:rPr>
        <w:t>电离</w:t>
      </w:r>
      <w:r>
        <w:rPr>
          <w:rFonts w:ascii="Times New Roman" w:eastAsia="宋体" w:hAnsi="Times New Roman" w:cs="Times New Roman"/>
          <w:color w:val="000000" w:themeColor="text1"/>
          <w:szCs w:val="21"/>
        </w:rPr>
        <w:t>源（</w:t>
      </w:r>
      <w:r>
        <w:rPr>
          <w:rFonts w:ascii="Times New Roman" w:eastAsia="宋体" w:hAnsi="Times New Roman" w:cs="Times New Roman"/>
          <w:color w:val="000000" w:themeColor="text1"/>
          <w:szCs w:val="21"/>
        </w:rPr>
        <w:t>EI</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szCs w:val="21"/>
        </w:rPr>
      </w:pPr>
      <w:r>
        <w:rPr>
          <w:rFonts w:ascii="Times New Roman" w:eastAsia="宋体" w:hAnsi="Times New Roman" w:cs="Times New Roman"/>
          <w:color w:val="000000" w:themeColor="text1"/>
          <w:szCs w:val="21"/>
        </w:rPr>
        <w:t>电</w:t>
      </w:r>
      <w:r>
        <w:rPr>
          <w:rFonts w:ascii="Times New Roman" w:eastAsia="宋体" w:hAnsi="Times New Roman" w:cs="Times New Roman"/>
          <w:szCs w:val="21"/>
        </w:rPr>
        <w:t>离能量：</w:t>
      </w:r>
      <w:r>
        <w:rPr>
          <w:rFonts w:ascii="Times New Roman" w:eastAsia="宋体" w:hAnsi="Times New Roman" w:cs="Times New Roman"/>
          <w:szCs w:val="21"/>
        </w:rPr>
        <w:t xml:space="preserve">70 </w:t>
      </w:r>
      <w:proofErr w:type="spellStart"/>
      <w:r>
        <w:rPr>
          <w:rFonts w:ascii="Times New Roman" w:eastAsia="宋体" w:hAnsi="Times New Roman" w:cs="Times New Roman"/>
          <w:szCs w:val="21"/>
        </w:rPr>
        <w:t>eV</w:t>
      </w:r>
      <w:proofErr w:type="spellEnd"/>
      <w:r>
        <w:rPr>
          <w:rFonts w:ascii="Times New Roman" w:eastAsia="宋体" w:hAnsi="Times New Roman" w:cs="Times New Roman"/>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szCs w:val="21"/>
        </w:rPr>
      </w:pPr>
      <w:r>
        <w:rPr>
          <w:rFonts w:ascii="Times New Roman" w:eastAsia="宋体" w:hAnsi="Times New Roman" w:cs="Times New Roman"/>
          <w:szCs w:val="21"/>
        </w:rPr>
        <w:t>四级杆温度：</w:t>
      </w:r>
      <w:r>
        <w:rPr>
          <w:rFonts w:ascii="Times New Roman" w:eastAsia="宋体" w:hAnsi="Times New Roman" w:cs="Times New Roman"/>
          <w:szCs w:val="21"/>
        </w:rPr>
        <w:t>150 ℃</w:t>
      </w:r>
      <w:r>
        <w:rPr>
          <w:rFonts w:ascii="Times New Roman" w:eastAsia="宋体" w:hAnsi="Times New Roman" w:cs="Times New Roman"/>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szCs w:val="21"/>
        </w:rPr>
        <w:t>离子源温度：</w:t>
      </w:r>
      <w:r>
        <w:rPr>
          <w:rFonts w:ascii="Times New Roman" w:eastAsia="宋体" w:hAnsi="Times New Roman" w:cs="Times New Roman"/>
          <w:szCs w:val="21"/>
        </w:rPr>
        <w:t>230 ℃</w:t>
      </w:r>
      <w:r>
        <w:rPr>
          <w:rFonts w:ascii="Times New Roman" w:eastAsia="宋体" w:hAnsi="Times New Roman" w:cs="Times New Roman"/>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色谱</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质谱传输线温度：</w:t>
      </w:r>
      <w:r>
        <w:rPr>
          <w:rFonts w:ascii="Times New Roman" w:eastAsia="宋体" w:hAnsi="Times New Roman" w:cs="Times New Roman" w:hint="eastAsia"/>
          <w:color w:val="000000" w:themeColor="text1"/>
          <w:szCs w:val="21"/>
        </w:rPr>
        <w:t>280</w:t>
      </w:r>
      <w:r>
        <w:rPr>
          <w:rFonts w:ascii="Times New Roman" w:eastAsia="宋体" w:hAnsi="Times New Roman" w:cs="Times New Roman" w:hint="eastAsia"/>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溶剂延迟：</w:t>
      </w:r>
      <w:r>
        <w:rPr>
          <w:rFonts w:ascii="Times New Roman" w:eastAsia="宋体" w:hAnsi="Times New Roman" w:cs="Times New Roman"/>
          <w:color w:val="000000" w:themeColor="text1"/>
          <w:szCs w:val="21"/>
        </w:rPr>
        <w:t>5min</w:t>
      </w:r>
      <w:r>
        <w:rPr>
          <w:rFonts w:ascii="Times New Roman" w:eastAsia="宋体" w:hAnsi="Times New Roman" w:cs="Times New Roman"/>
          <w:color w:val="000000" w:themeColor="text1"/>
          <w:szCs w:val="21"/>
        </w:rPr>
        <w:t>；</w:t>
      </w:r>
    </w:p>
    <w:p w:rsidR="00D030B4" w:rsidRDefault="004248DB">
      <w:pPr>
        <w:snapToGrid w:val="0"/>
        <w:spacing w:beforeLines="50" w:before="156" w:afterLines="50" w:after="156" w:line="300" w:lineRule="auto"/>
        <w:ind w:firstLine="420"/>
        <w:rPr>
          <w:rFonts w:ascii="Times New Roman" w:eastAsia="宋体" w:hAnsi="Times New Roman" w:cs="Times New Roman"/>
          <w:i/>
          <w:color w:val="000000" w:themeColor="text1"/>
          <w:szCs w:val="21"/>
        </w:rPr>
      </w:pPr>
      <w:r>
        <w:rPr>
          <w:rFonts w:ascii="Times New Roman" w:eastAsia="宋体" w:hAnsi="Times New Roman" w:cs="Times New Roman"/>
          <w:color w:val="000000" w:themeColor="text1"/>
          <w:szCs w:val="21"/>
        </w:rPr>
        <w:t>监测模式：</w:t>
      </w:r>
      <w:r>
        <w:rPr>
          <w:rFonts w:ascii="Times New Roman" w:eastAsia="宋体" w:hAnsi="Times New Roman" w:cs="Times New Roman" w:hint="eastAsia"/>
          <w:color w:val="000000" w:themeColor="text1"/>
          <w:szCs w:val="21"/>
        </w:rPr>
        <w:t>选择离子监测（</w:t>
      </w:r>
      <w:r>
        <w:rPr>
          <w:rFonts w:ascii="Times New Roman" w:eastAsia="宋体" w:hAnsi="Times New Roman" w:cs="Times New Roman" w:hint="eastAsia"/>
          <w:color w:val="000000" w:themeColor="text1"/>
          <w:szCs w:val="21"/>
        </w:rPr>
        <w:t>SIM</w:t>
      </w:r>
      <w:r>
        <w:rPr>
          <w:rFonts w:ascii="Times New Roman" w:eastAsia="宋体" w:hAnsi="Times New Roman" w:cs="Times New Roman" w:hint="eastAsia"/>
          <w:color w:val="000000" w:themeColor="text1"/>
          <w:szCs w:val="21"/>
        </w:rPr>
        <w:t>）模式，监测离子及相关参数设定见表</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p>
    <w:p w:rsidR="00D030B4" w:rsidRDefault="004248DB">
      <w:pPr>
        <w:snapToGrid w:val="0"/>
        <w:spacing w:beforeLines="50" w:before="156" w:afterLines="50" w:after="156" w:line="300" w:lineRule="auto"/>
        <w:jc w:val="center"/>
        <w:rPr>
          <w:rFonts w:ascii="黑体" w:eastAsia="黑体" w:hAnsi="黑体" w:cs="黑体"/>
          <w:szCs w:val="21"/>
        </w:rPr>
      </w:pPr>
      <w:r>
        <w:rPr>
          <w:rFonts w:ascii="黑体" w:eastAsia="黑体" w:hAnsi="黑体" w:cs="黑体"/>
          <w:szCs w:val="21"/>
        </w:rPr>
        <w:t>表</w:t>
      </w:r>
      <w:r>
        <w:rPr>
          <w:rFonts w:ascii="Times New Roman" w:eastAsia="黑体" w:hAnsi="Times New Roman" w:cs="Times New Roman" w:hint="eastAsia"/>
          <w:szCs w:val="21"/>
        </w:rPr>
        <w:t>1</w:t>
      </w:r>
      <w:r>
        <w:rPr>
          <w:rFonts w:ascii="黑体" w:eastAsia="黑体" w:hAnsi="黑体" w:cs="黑体"/>
          <w:szCs w:val="21"/>
        </w:rPr>
        <w:t xml:space="preserve">  </w:t>
      </w:r>
      <w:r>
        <w:rPr>
          <w:rFonts w:ascii="黑体" w:eastAsia="黑体" w:hAnsi="黑体" w:cs="黑体" w:hint="eastAsia"/>
          <w:szCs w:val="21"/>
        </w:rPr>
        <w:t>监测离子及相关参数设定表</w:t>
      </w:r>
    </w:p>
    <w:tbl>
      <w:tblPr>
        <w:tblW w:w="6507" w:type="dxa"/>
        <w:jc w:val="center"/>
        <w:tblBorders>
          <w:top w:val="single" w:sz="4" w:space="0" w:color="auto"/>
          <w:bottom w:val="single" w:sz="4" w:space="0" w:color="auto"/>
        </w:tblBorders>
        <w:tblLayout w:type="fixed"/>
        <w:tblLook w:val="04A0" w:firstRow="1" w:lastRow="0" w:firstColumn="1" w:lastColumn="0" w:noHBand="0" w:noVBand="1"/>
      </w:tblPr>
      <w:tblGrid>
        <w:gridCol w:w="964"/>
        <w:gridCol w:w="2181"/>
        <w:gridCol w:w="1961"/>
        <w:gridCol w:w="1401"/>
      </w:tblGrid>
      <w:tr w:rsidR="00D030B4">
        <w:trPr>
          <w:tblHeader/>
          <w:jc w:val="center"/>
        </w:trPr>
        <w:tc>
          <w:tcPr>
            <w:tcW w:w="964" w:type="dxa"/>
            <w:tcBorders>
              <w:top w:val="single" w:sz="4" w:space="0" w:color="auto"/>
              <w:bottom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编号</w:t>
            </w:r>
          </w:p>
        </w:tc>
        <w:tc>
          <w:tcPr>
            <w:tcW w:w="2181" w:type="dxa"/>
            <w:tcBorders>
              <w:top w:val="single" w:sz="4" w:space="0" w:color="auto"/>
              <w:bottom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物质名称</w:t>
            </w:r>
          </w:p>
        </w:tc>
        <w:tc>
          <w:tcPr>
            <w:tcW w:w="1961" w:type="dxa"/>
            <w:tcBorders>
              <w:top w:val="single" w:sz="4" w:space="0" w:color="auto"/>
              <w:bottom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特征离子（</w:t>
            </w:r>
            <w:r>
              <w:rPr>
                <w:rFonts w:ascii="Times New Roman" w:eastAsia="宋体" w:hAnsi="Times New Roman" w:cs="Times New Roman"/>
                <w:color w:val="000000" w:themeColor="text1"/>
                <w:szCs w:val="21"/>
              </w:rPr>
              <w:t>m/z</w:t>
            </w:r>
            <w:r>
              <w:rPr>
                <w:rFonts w:ascii="Times New Roman" w:eastAsia="宋体" w:hAnsi="Times New Roman" w:cs="Times New Roman"/>
                <w:color w:val="000000" w:themeColor="text1"/>
                <w:szCs w:val="21"/>
              </w:rPr>
              <w:t>）</w:t>
            </w:r>
          </w:p>
        </w:tc>
        <w:tc>
          <w:tcPr>
            <w:tcW w:w="1401" w:type="dxa"/>
            <w:tcBorders>
              <w:top w:val="single" w:sz="4" w:space="0" w:color="auto"/>
              <w:bottom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丰度比</w:t>
            </w:r>
          </w:p>
        </w:tc>
      </w:tr>
      <w:tr w:rsidR="00D030B4">
        <w:trPr>
          <w:trHeight w:val="327"/>
          <w:jc w:val="center"/>
        </w:trPr>
        <w:tc>
          <w:tcPr>
            <w:tcW w:w="964" w:type="dxa"/>
            <w:vMerge w:val="restart"/>
            <w:tcBorders>
              <w:top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2181" w:type="dxa"/>
            <w:vMerge w:val="restart"/>
            <w:tcBorders>
              <w:top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二甘醇</w:t>
            </w:r>
          </w:p>
        </w:tc>
        <w:tc>
          <w:tcPr>
            <w:tcW w:w="1961" w:type="dxa"/>
            <w:tcBorders>
              <w:top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45.0*</w:t>
            </w:r>
          </w:p>
        </w:tc>
        <w:tc>
          <w:tcPr>
            <w:tcW w:w="1401" w:type="dxa"/>
            <w:tcBorders>
              <w:top w:val="single" w:sz="4" w:space="0" w:color="auto"/>
            </w:tcBorders>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100</w:t>
            </w:r>
          </w:p>
        </w:tc>
      </w:tr>
      <w:tr w:rsidR="00D030B4">
        <w:trPr>
          <w:trHeight w:val="312"/>
          <w:jc w:val="center"/>
        </w:trPr>
        <w:tc>
          <w:tcPr>
            <w:tcW w:w="964"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2181"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kern w:val="0"/>
                <w:szCs w:val="21"/>
              </w:rPr>
            </w:pPr>
          </w:p>
        </w:tc>
        <w:tc>
          <w:tcPr>
            <w:tcW w:w="196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75.0</w:t>
            </w:r>
          </w:p>
        </w:tc>
        <w:tc>
          <w:tcPr>
            <w:tcW w:w="140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44</w:t>
            </w:r>
          </w:p>
        </w:tc>
      </w:tr>
      <w:tr w:rsidR="00D030B4">
        <w:trPr>
          <w:trHeight w:val="312"/>
          <w:jc w:val="center"/>
        </w:trPr>
        <w:tc>
          <w:tcPr>
            <w:tcW w:w="964"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2181"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kern w:val="0"/>
                <w:szCs w:val="21"/>
              </w:rPr>
            </w:pPr>
          </w:p>
        </w:tc>
        <w:tc>
          <w:tcPr>
            <w:tcW w:w="196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76.0</w:t>
            </w:r>
          </w:p>
        </w:tc>
        <w:tc>
          <w:tcPr>
            <w:tcW w:w="140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22</w:t>
            </w:r>
          </w:p>
        </w:tc>
      </w:tr>
      <w:tr w:rsidR="00D030B4">
        <w:trPr>
          <w:trHeight w:val="312"/>
          <w:jc w:val="center"/>
        </w:trPr>
        <w:tc>
          <w:tcPr>
            <w:tcW w:w="964" w:type="dxa"/>
            <w:vMerge w:val="restart"/>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2181" w:type="dxa"/>
            <w:vMerge w:val="restart"/>
            <w:vAlign w:val="center"/>
          </w:tcPr>
          <w:p w:rsidR="00D030B4" w:rsidRDefault="004248DB">
            <w:pPr>
              <w:spacing w:before="50" w:after="50" w:line="300" w:lineRule="auto"/>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szCs w:val="21"/>
              </w:rPr>
              <w:t>氘代二</w:t>
            </w:r>
            <w:proofErr w:type="gramEnd"/>
            <w:r>
              <w:rPr>
                <w:rFonts w:ascii="Times New Roman" w:eastAsia="宋体" w:hAnsi="Times New Roman" w:cs="Times New Roman"/>
                <w:color w:val="000000" w:themeColor="text1"/>
                <w:szCs w:val="21"/>
              </w:rPr>
              <w:t>甘醇</w:t>
            </w:r>
            <w:r>
              <w:rPr>
                <w:rFonts w:ascii="Times New Roman" w:eastAsia="宋体" w:hAnsi="Times New Roman" w:cs="Times New Roman"/>
                <w:color w:val="000000" w:themeColor="text1"/>
                <w:szCs w:val="21"/>
              </w:rPr>
              <w:t>-D</w:t>
            </w:r>
            <w:r>
              <w:rPr>
                <w:rFonts w:ascii="Times New Roman" w:eastAsia="宋体" w:hAnsi="Times New Roman" w:cs="Times New Roman"/>
                <w:color w:val="000000" w:themeColor="text1"/>
                <w:szCs w:val="21"/>
                <w:vertAlign w:val="subscript"/>
              </w:rPr>
              <w:t>8</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内标</w:t>
            </w:r>
            <w:r>
              <w:rPr>
                <w:rFonts w:ascii="Times New Roman" w:eastAsia="宋体" w:hAnsi="Times New Roman" w:cs="Times New Roman"/>
                <w:color w:val="000000" w:themeColor="text1"/>
                <w:szCs w:val="21"/>
              </w:rPr>
              <w:t>)</w:t>
            </w:r>
          </w:p>
        </w:tc>
        <w:tc>
          <w:tcPr>
            <w:tcW w:w="196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49.0*</w:t>
            </w:r>
          </w:p>
        </w:tc>
        <w:tc>
          <w:tcPr>
            <w:tcW w:w="140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100</w:t>
            </w:r>
          </w:p>
        </w:tc>
      </w:tr>
      <w:tr w:rsidR="00D030B4">
        <w:trPr>
          <w:jc w:val="center"/>
        </w:trPr>
        <w:tc>
          <w:tcPr>
            <w:tcW w:w="964"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2181"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196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81.0</w:t>
            </w:r>
          </w:p>
        </w:tc>
        <w:tc>
          <w:tcPr>
            <w:tcW w:w="140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43</w:t>
            </w:r>
          </w:p>
        </w:tc>
      </w:tr>
      <w:tr w:rsidR="00D030B4">
        <w:trPr>
          <w:jc w:val="center"/>
        </w:trPr>
        <w:tc>
          <w:tcPr>
            <w:tcW w:w="964"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2181" w:type="dxa"/>
            <w:vMerge/>
            <w:vAlign w:val="center"/>
          </w:tcPr>
          <w:p w:rsidR="00D030B4" w:rsidRDefault="00D030B4">
            <w:pPr>
              <w:spacing w:before="50" w:after="50" w:line="300" w:lineRule="auto"/>
              <w:jc w:val="center"/>
              <w:rPr>
                <w:rFonts w:ascii="Times New Roman" w:eastAsia="宋体" w:hAnsi="Times New Roman" w:cs="Times New Roman"/>
                <w:color w:val="000000" w:themeColor="text1"/>
                <w:szCs w:val="21"/>
              </w:rPr>
            </w:pPr>
          </w:p>
        </w:tc>
        <w:tc>
          <w:tcPr>
            <w:tcW w:w="196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82.0</w:t>
            </w:r>
          </w:p>
        </w:tc>
        <w:tc>
          <w:tcPr>
            <w:tcW w:w="1401" w:type="dxa"/>
            <w:vAlign w:val="center"/>
          </w:tcPr>
          <w:p w:rsidR="00D030B4" w:rsidRDefault="004248DB">
            <w:pPr>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21</w:t>
            </w:r>
          </w:p>
        </w:tc>
      </w:tr>
    </w:tbl>
    <w:p w:rsidR="00D030B4" w:rsidRDefault="004248DB">
      <w:pPr>
        <w:snapToGrid w:val="0"/>
        <w:spacing w:beforeLines="50" w:before="156" w:afterLines="50" w:after="156" w:line="300"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注：表中带</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的为定量离子。特征离子及丰度比可根据仪器实际情况调整。</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5.4  </w:t>
      </w:r>
      <w:r>
        <w:rPr>
          <w:rFonts w:ascii="Times New Roman" w:eastAsia="宋体" w:hAnsi="Times New Roman" w:cs="Times New Roman"/>
          <w:bCs/>
          <w:color w:val="000000" w:themeColor="text1"/>
          <w:szCs w:val="21"/>
        </w:rPr>
        <w:t>定性判定</w:t>
      </w:r>
    </w:p>
    <w:p w:rsidR="00D030B4" w:rsidRDefault="004248DB">
      <w:pPr>
        <w:tabs>
          <w:tab w:val="left" w:pos="5745"/>
        </w:tabs>
        <w:snapToGrid w:val="0"/>
        <w:spacing w:beforeLines="50" w:before="156" w:afterLines="50" w:after="156"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用气相色谱</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质谱</w:t>
      </w:r>
      <w:r>
        <w:rPr>
          <w:rFonts w:ascii="Times New Roman" w:eastAsia="宋体" w:hAnsi="Times New Roman" w:cs="Times New Roman" w:hint="eastAsia"/>
          <w:color w:val="000000" w:themeColor="text1"/>
          <w:szCs w:val="21"/>
        </w:rPr>
        <w:t>联用</w:t>
      </w:r>
      <w:r>
        <w:rPr>
          <w:rFonts w:ascii="Times New Roman" w:eastAsia="宋体" w:hAnsi="Times New Roman" w:cs="Times New Roman"/>
          <w:color w:val="000000" w:themeColor="text1"/>
          <w:szCs w:val="21"/>
        </w:rPr>
        <w:t>法对样品进行定性判定，在相同试验条件下，样品色谱峰的保留时间应与标准</w:t>
      </w:r>
      <w:r>
        <w:rPr>
          <w:rFonts w:ascii="Times New Roman" w:eastAsia="宋体" w:hAnsi="Times New Roman" w:cs="Times New Roman" w:hint="eastAsia"/>
          <w:color w:val="000000" w:themeColor="text1"/>
          <w:szCs w:val="21"/>
        </w:rPr>
        <w:t>品</w:t>
      </w:r>
      <w:r>
        <w:rPr>
          <w:rFonts w:ascii="Times New Roman" w:eastAsia="宋体" w:hAnsi="Times New Roman" w:cs="Times New Roman"/>
          <w:color w:val="000000" w:themeColor="text1"/>
          <w:szCs w:val="21"/>
        </w:rPr>
        <w:t>的色谱峰保留时间一致</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并且在扣除背景后的样品质谱图中，所选择的</w:t>
      </w:r>
      <w:r>
        <w:rPr>
          <w:rFonts w:ascii="Times New Roman" w:eastAsia="宋体" w:hAnsi="Times New Roman" w:cs="Times New Roman" w:hint="eastAsia"/>
          <w:color w:val="000000" w:themeColor="text1"/>
          <w:szCs w:val="21"/>
        </w:rPr>
        <w:t>定性</w:t>
      </w:r>
      <w:r>
        <w:rPr>
          <w:rFonts w:ascii="Times New Roman" w:eastAsia="宋体" w:hAnsi="Times New Roman" w:cs="Times New Roman"/>
          <w:color w:val="000000" w:themeColor="text1"/>
          <w:szCs w:val="21"/>
        </w:rPr>
        <w:t>离子均出现，且</w:t>
      </w:r>
      <w:r>
        <w:rPr>
          <w:rFonts w:ascii="Times New Roman" w:eastAsia="宋体" w:hAnsi="Times New Roman" w:cs="Times New Roman" w:hint="eastAsia"/>
          <w:color w:val="000000" w:themeColor="text1"/>
          <w:szCs w:val="21"/>
        </w:rPr>
        <w:t>样品中</w:t>
      </w:r>
      <w:r>
        <w:rPr>
          <w:rFonts w:ascii="Times New Roman" w:eastAsia="宋体" w:hAnsi="Times New Roman" w:cs="Times New Roman"/>
          <w:color w:val="000000" w:themeColor="text1"/>
          <w:szCs w:val="21"/>
        </w:rPr>
        <w:t>选择离子的相对丰度比与</w:t>
      </w:r>
      <w:r>
        <w:rPr>
          <w:rFonts w:ascii="Times New Roman" w:eastAsia="宋体" w:hAnsi="Times New Roman" w:cs="Times New Roman" w:hint="eastAsia"/>
          <w:color w:val="000000" w:themeColor="text1"/>
          <w:szCs w:val="21"/>
        </w:rPr>
        <w:t>浓度相当的标准溶液相比，其允许</w:t>
      </w:r>
      <w:r>
        <w:rPr>
          <w:rFonts w:ascii="Times New Roman" w:eastAsia="宋体" w:hAnsi="Times New Roman" w:cs="Times New Roman"/>
          <w:color w:val="000000" w:themeColor="text1"/>
          <w:szCs w:val="21"/>
        </w:rPr>
        <w:t>偏差不超过表</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规定范围。</w:t>
      </w:r>
    </w:p>
    <w:p w:rsidR="00D030B4" w:rsidRDefault="004248DB">
      <w:pPr>
        <w:snapToGrid w:val="0"/>
        <w:spacing w:beforeLines="50" w:before="156" w:afterLines="50" w:after="156" w:line="300" w:lineRule="auto"/>
        <w:jc w:val="center"/>
        <w:rPr>
          <w:rFonts w:ascii="Times New Roman" w:eastAsia="黑体" w:hAnsi="Times New Roman" w:cs="Times New Roman"/>
          <w:bCs/>
          <w:color w:val="000000" w:themeColor="text1"/>
          <w:szCs w:val="21"/>
        </w:rPr>
      </w:pPr>
      <w:r>
        <w:rPr>
          <w:rFonts w:ascii="Times New Roman" w:eastAsia="黑体" w:hAnsi="Times New Roman" w:cs="Times New Roman"/>
          <w:bCs/>
          <w:color w:val="000000" w:themeColor="text1"/>
          <w:szCs w:val="21"/>
        </w:rPr>
        <w:t>表</w:t>
      </w:r>
      <w:r>
        <w:rPr>
          <w:rFonts w:ascii="Times New Roman" w:eastAsia="黑体" w:hAnsi="Times New Roman" w:cs="Times New Roman"/>
          <w:bCs/>
          <w:color w:val="000000" w:themeColor="text1"/>
          <w:szCs w:val="21"/>
        </w:rPr>
        <w:t xml:space="preserve">2  </w:t>
      </w:r>
      <w:r>
        <w:rPr>
          <w:rFonts w:ascii="Times New Roman" w:eastAsia="黑体" w:hAnsi="Times New Roman" w:cs="Times New Roman"/>
          <w:bCs/>
          <w:color w:val="000000" w:themeColor="text1"/>
          <w:szCs w:val="21"/>
        </w:rPr>
        <w:t>定性确证时相对离子丰度的最大允许偏差</w:t>
      </w:r>
    </w:p>
    <w:tbl>
      <w:tblPr>
        <w:tblW w:w="870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1648"/>
        <w:gridCol w:w="1735"/>
        <w:gridCol w:w="1774"/>
        <w:gridCol w:w="1425"/>
      </w:tblGrid>
      <w:tr w:rsidR="00D030B4">
        <w:trPr>
          <w:trHeight w:val="113"/>
          <w:jc w:val="center"/>
        </w:trPr>
        <w:tc>
          <w:tcPr>
            <w:tcW w:w="2127" w:type="dxa"/>
            <w:vAlign w:val="center"/>
          </w:tcPr>
          <w:p w:rsidR="00D030B4" w:rsidRDefault="004248DB">
            <w:pPr>
              <w:tabs>
                <w:tab w:val="left" w:pos="5745"/>
              </w:tabs>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相对离子丰度（</w:t>
            </w:r>
            <w:r>
              <w:rPr>
                <w:rFonts w:ascii="Times New Roman" w:eastAsia="宋体" w:hAnsi="Times New Roman" w:cs="Times New Roman"/>
                <w:color w:val="000000" w:themeColor="text1"/>
                <w:szCs w:val="21"/>
              </w:rPr>
              <w:t>k</w:t>
            </w:r>
            <w:r>
              <w:rPr>
                <w:rFonts w:ascii="Times New Roman" w:eastAsia="宋体" w:hAnsi="Times New Roman" w:cs="Times New Roman"/>
                <w:color w:val="000000" w:themeColor="text1"/>
                <w:szCs w:val="21"/>
              </w:rPr>
              <w:t>）</w:t>
            </w:r>
          </w:p>
        </w:tc>
        <w:tc>
          <w:tcPr>
            <w:tcW w:w="1648"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k&gt;50%</w:t>
            </w:r>
          </w:p>
        </w:tc>
        <w:tc>
          <w:tcPr>
            <w:tcW w:w="1735"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50%≥k&gt; 20%</w:t>
            </w:r>
          </w:p>
        </w:tc>
        <w:tc>
          <w:tcPr>
            <w:tcW w:w="1774"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20%≥k&gt;10%</w:t>
            </w:r>
          </w:p>
        </w:tc>
        <w:tc>
          <w:tcPr>
            <w:tcW w:w="1425"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k≤10%</w:t>
            </w:r>
          </w:p>
        </w:tc>
      </w:tr>
      <w:tr w:rsidR="00D030B4">
        <w:trPr>
          <w:trHeight w:val="113"/>
          <w:jc w:val="center"/>
        </w:trPr>
        <w:tc>
          <w:tcPr>
            <w:tcW w:w="2127" w:type="dxa"/>
            <w:vAlign w:val="center"/>
          </w:tcPr>
          <w:p w:rsidR="00D030B4" w:rsidRDefault="004248DB">
            <w:pPr>
              <w:tabs>
                <w:tab w:val="left" w:pos="5745"/>
              </w:tabs>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允许的最大偏差</w:t>
            </w:r>
          </w:p>
        </w:tc>
        <w:tc>
          <w:tcPr>
            <w:tcW w:w="1648"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w:t>
            </w:r>
          </w:p>
        </w:tc>
        <w:tc>
          <w:tcPr>
            <w:tcW w:w="1735"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±25%</w:t>
            </w:r>
          </w:p>
        </w:tc>
        <w:tc>
          <w:tcPr>
            <w:tcW w:w="1774"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±30%</w:t>
            </w:r>
          </w:p>
        </w:tc>
        <w:tc>
          <w:tcPr>
            <w:tcW w:w="1425" w:type="dxa"/>
            <w:vAlign w:val="center"/>
          </w:tcPr>
          <w:p w:rsidR="00D030B4" w:rsidRDefault="004248DB">
            <w:pPr>
              <w:adjustRightInd w:val="0"/>
              <w:snapToGrid w:val="0"/>
              <w:spacing w:before="50" w:after="50"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±50%</w:t>
            </w:r>
          </w:p>
        </w:tc>
      </w:tr>
    </w:tbl>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5.5  </w:t>
      </w:r>
      <w:r>
        <w:rPr>
          <w:rFonts w:ascii="Times New Roman" w:eastAsia="宋体" w:hAnsi="Times New Roman" w:cs="Times New Roman"/>
          <w:bCs/>
          <w:color w:val="000000" w:themeColor="text1"/>
          <w:szCs w:val="21"/>
        </w:rPr>
        <w:t>定量测定</w:t>
      </w:r>
    </w:p>
    <w:p w:rsidR="00D030B4" w:rsidRDefault="004248DB">
      <w:pPr>
        <w:snapToGrid w:val="0"/>
        <w:spacing w:before="50" w:after="50"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在</w:t>
      </w:r>
      <w:r>
        <w:rPr>
          <w:rFonts w:ascii="Times New Roman" w:eastAsia="宋体" w:hAnsi="Times New Roman" w:cs="Times New Roman"/>
          <w:color w:val="000000" w:themeColor="text1"/>
          <w:szCs w:val="21"/>
        </w:rPr>
        <w:t>“5.3”</w:t>
      </w:r>
      <w:r>
        <w:rPr>
          <w:rFonts w:ascii="Times New Roman" w:eastAsia="宋体" w:hAnsi="Times New Roman" w:cs="Times New Roman"/>
          <w:color w:val="000000" w:themeColor="text1"/>
          <w:szCs w:val="21"/>
        </w:rPr>
        <w:t>项仪器参考条件下，取标准系列溶液（</w:t>
      </w:r>
      <w:r>
        <w:rPr>
          <w:rFonts w:ascii="Times New Roman" w:eastAsia="宋体" w:hAnsi="Times New Roman" w:cs="Times New Roman"/>
          <w:color w:val="000000" w:themeColor="text1"/>
          <w:szCs w:val="21"/>
        </w:rPr>
        <w:t>5.1</w:t>
      </w:r>
      <w:r>
        <w:rPr>
          <w:rFonts w:ascii="Times New Roman" w:eastAsia="宋体" w:hAnsi="Times New Roman" w:cs="Times New Roman"/>
          <w:color w:val="000000" w:themeColor="text1"/>
          <w:szCs w:val="21"/>
        </w:rPr>
        <w:t>）分别进样</w:t>
      </w:r>
      <w:r>
        <w:rPr>
          <w:rFonts w:ascii="Times New Roman" w:eastAsia="宋体" w:hAnsi="Times New Roman" w:cs="Times New Roman" w:hint="eastAsia"/>
          <w:color w:val="000000" w:themeColor="text1"/>
          <w:szCs w:val="21"/>
        </w:rPr>
        <w:t>测定</w:t>
      </w:r>
      <w:r>
        <w:rPr>
          <w:rFonts w:ascii="Times New Roman" w:eastAsia="宋体" w:hAnsi="Times New Roman" w:cs="Times New Roman"/>
          <w:color w:val="000000" w:themeColor="text1"/>
          <w:szCs w:val="21"/>
        </w:rPr>
        <w:t>，以二甘醇的</w:t>
      </w:r>
      <w:r>
        <w:rPr>
          <w:rFonts w:ascii="Times New Roman" w:eastAsia="宋体" w:hAnsi="Times New Roman" w:cs="Times New Roman" w:hint="eastAsia"/>
          <w:color w:val="000000" w:themeColor="text1"/>
          <w:szCs w:val="21"/>
        </w:rPr>
        <w:t>质量浓度</w:t>
      </w:r>
      <w:r>
        <w:rPr>
          <w:rFonts w:ascii="Times New Roman" w:eastAsia="宋体" w:hAnsi="Times New Roman" w:cs="Times New Roman"/>
          <w:color w:val="000000" w:themeColor="text1"/>
          <w:szCs w:val="21"/>
        </w:rPr>
        <w:t>为横坐标，二甘醇峰面积与内标峰面积的比值为纵坐标，进行线性回归，绘制标准曲线，其线性相关系数应大于</w:t>
      </w:r>
      <w:r>
        <w:rPr>
          <w:rFonts w:ascii="Times New Roman" w:eastAsia="宋体" w:hAnsi="Times New Roman" w:cs="Times New Roman"/>
          <w:color w:val="000000" w:themeColor="text1"/>
          <w:szCs w:val="21"/>
        </w:rPr>
        <w:t>0.99</w:t>
      </w:r>
      <w:r>
        <w:rPr>
          <w:rFonts w:ascii="Times New Roman" w:eastAsia="宋体" w:hAnsi="Times New Roman" w:cs="Times New Roman"/>
          <w:color w:val="000000" w:themeColor="text1"/>
          <w:szCs w:val="21"/>
        </w:rPr>
        <w:t>。</w:t>
      </w:r>
    </w:p>
    <w:p w:rsidR="00D030B4" w:rsidRDefault="004248DB">
      <w:pPr>
        <w:snapToGrid w:val="0"/>
        <w:spacing w:before="50" w:after="50" w:line="30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取</w:t>
      </w:r>
      <w:r>
        <w:rPr>
          <w:rFonts w:ascii="Times New Roman" w:eastAsia="宋体" w:hAnsi="Times New Roman" w:cs="Times New Roman"/>
          <w:color w:val="000000" w:themeColor="text1"/>
          <w:szCs w:val="21"/>
        </w:rPr>
        <w:t>“5.2”</w:t>
      </w:r>
      <w:r>
        <w:rPr>
          <w:rFonts w:ascii="Times New Roman" w:eastAsia="宋体" w:hAnsi="Times New Roman" w:cs="Times New Roman"/>
          <w:color w:val="000000" w:themeColor="text1"/>
          <w:szCs w:val="21"/>
        </w:rPr>
        <w:t>项下处理得到的待测溶液进样</w:t>
      </w:r>
      <w:r>
        <w:rPr>
          <w:rFonts w:ascii="Times New Roman" w:eastAsia="宋体" w:hAnsi="Times New Roman" w:cs="Times New Roman" w:hint="eastAsia"/>
          <w:color w:val="000000" w:themeColor="text1"/>
          <w:szCs w:val="21"/>
        </w:rPr>
        <w:t>测定</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内标法计算待测液中二甘醇的质量浓度</w:t>
      </w:r>
      <w:r>
        <w:rPr>
          <w:rFonts w:ascii="Times New Roman" w:eastAsia="宋体" w:hAnsi="Times New Roman" w:cs="Times New Roman"/>
          <w:color w:val="000000" w:themeColor="text1"/>
          <w:szCs w:val="21"/>
        </w:rPr>
        <w:t>，按</w:t>
      </w: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项下公式，计算样品中二甘醇的含量。</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6  </w:t>
      </w:r>
      <w:r>
        <w:rPr>
          <w:rFonts w:ascii="黑体" w:eastAsia="黑体" w:hAnsi="黑体" w:cs="Times New Roman"/>
          <w:bCs/>
          <w:color w:val="000000" w:themeColor="text1"/>
          <w:szCs w:val="21"/>
        </w:rPr>
        <w:t>分析结果的表述</w:t>
      </w:r>
    </w:p>
    <w:p w:rsidR="00D030B4" w:rsidRDefault="004248DB">
      <w:pPr>
        <w:snapToGrid w:val="0"/>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6.1  </w:t>
      </w:r>
      <w:r>
        <w:rPr>
          <w:rFonts w:ascii="Times New Roman" w:eastAsia="宋体" w:hAnsi="Times New Roman" w:cs="Times New Roman"/>
          <w:bCs/>
          <w:color w:val="000000" w:themeColor="text1"/>
          <w:szCs w:val="21"/>
        </w:rPr>
        <w:t>计算</w:t>
      </w:r>
    </w:p>
    <w:p w:rsidR="00D030B4" w:rsidRDefault="004248DB" w:rsidP="00EA5B16">
      <w:pPr>
        <w:snapToGrid w:val="0"/>
        <w:spacing w:beforeLines="50" w:before="156" w:afterLines="50" w:after="156" w:line="300" w:lineRule="auto"/>
        <w:ind w:firstLineChars="200" w:firstLine="420"/>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rPr>
        <w:t>测量结果通过以下公式计算：</w:t>
      </w:r>
    </w:p>
    <w:p w:rsidR="00D2424F" w:rsidRDefault="00D2424F">
      <w:pPr>
        <w:snapToGrid w:val="0"/>
        <w:spacing w:beforeLines="50" w:before="156" w:afterLines="50" w:after="156" w:line="300" w:lineRule="auto"/>
        <w:rPr>
          <w:rFonts w:ascii="Times New Roman" w:eastAsia="宋体" w:hAnsi="Times New Roman" w:cs="Times New Roman"/>
          <w:bCs/>
          <w:color w:val="000000" w:themeColor="text1"/>
          <w:szCs w:val="21"/>
        </w:rPr>
      </w:pPr>
    </w:p>
    <w:tbl>
      <w:tblPr>
        <w:tblW w:w="0" w:type="auto"/>
        <w:tblInd w:w="108" w:type="dxa"/>
        <w:tblLayout w:type="fixed"/>
        <w:tblLook w:val="04A0" w:firstRow="1" w:lastRow="0" w:firstColumn="1" w:lastColumn="0" w:noHBand="0" w:noVBand="1"/>
      </w:tblPr>
      <w:tblGrid>
        <w:gridCol w:w="2835"/>
        <w:gridCol w:w="1700"/>
      </w:tblGrid>
      <w:tr w:rsidR="00D030B4">
        <w:trPr>
          <w:cantSplit/>
        </w:trPr>
        <w:tc>
          <w:tcPr>
            <w:tcW w:w="2835" w:type="dxa"/>
            <w:vMerge w:val="restart"/>
            <w:vAlign w:val="center"/>
          </w:tcPr>
          <w:p w:rsidR="00D030B4" w:rsidRDefault="004248DB" w:rsidP="00D2424F">
            <w:pPr>
              <w:spacing w:before="50" w:after="50" w:line="300" w:lineRule="auto"/>
              <w:ind w:firstLineChars="436" w:firstLine="916"/>
              <w:jc w:val="center"/>
              <w:rPr>
                <w:rFonts w:ascii="Times New Roman" w:eastAsia="宋体" w:hAnsi="Times New Roman" w:cs="Times New Roman"/>
                <w:szCs w:val="21"/>
              </w:rPr>
            </w:pPr>
            <w:r>
              <w:rPr>
                <w:rFonts w:ascii="Times New Roman" w:eastAsia="宋体" w:hAnsi="Times New Roman" w:cs="Times New Roman"/>
                <w:i/>
                <w:iCs/>
                <w:szCs w:val="21"/>
              </w:rPr>
              <w:lastRenderedPageBreak/>
              <w:sym w:font="Symbol" w:char="F077"/>
            </w:r>
            <w:r>
              <w:rPr>
                <w:rFonts w:ascii="Times New Roman" w:eastAsia="宋体" w:hAnsi="Times New Roman" w:cs="Times New Roman"/>
                <w:szCs w:val="21"/>
              </w:rPr>
              <w:t>（待测组分）</w:t>
            </w:r>
            <w:r>
              <w:rPr>
                <w:rFonts w:ascii="Times New Roman" w:eastAsia="宋体" w:hAnsi="Times New Roman" w:cs="Times New Roman"/>
                <w:szCs w:val="21"/>
              </w:rPr>
              <w:t>=</w:t>
            </w:r>
          </w:p>
        </w:tc>
        <w:tc>
          <w:tcPr>
            <w:tcW w:w="1700" w:type="dxa"/>
            <w:tcBorders>
              <w:bottom w:val="single" w:sz="4" w:space="0" w:color="auto"/>
            </w:tcBorders>
          </w:tcPr>
          <w:p w:rsidR="00D030B4" w:rsidRDefault="004248DB">
            <w:pPr>
              <w:spacing w:before="50" w:after="50" w:line="300" w:lineRule="auto"/>
              <w:jc w:val="center"/>
              <w:rPr>
                <w:rFonts w:ascii="Times New Roman" w:eastAsia="宋体" w:hAnsi="Times New Roman" w:cs="Times New Roman"/>
                <w:szCs w:val="21"/>
              </w:rPr>
            </w:pPr>
            <w:r>
              <w:rPr>
                <w:rFonts w:ascii="Times New Roman" w:eastAsia="宋体" w:hAnsi="Times New Roman" w:cs="Times New Roman"/>
                <w:i/>
                <w:szCs w:val="21"/>
              </w:rPr>
              <w:sym w:font="Symbol" w:char="F072"/>
            </w:r>
            <w:r>
              <w:rPr>
                <w:rFonts w:ascii="Times New Roman" w:eastAsia="宋体" w:hAnsi="Times New Roman" w:cs="Times New Roman"/>
                <w:i/>
                <w:szCs w:val="21"/>
              </w:rPr>
              <w:t xml:space="preserve"> </w:t>
            </w:r>
            <w:r>
              <w:rPr>
                <w:rFonts w:ascii="Times New Roman" w:eastAsia="宋体" w:hAnsi="Times New Roman" w:cs="Times New Roman"/>
                <w:szCs w:val="21"/>
              </w:rPr>
              <w:t>×V×</w:t>
            </w:r>
            <w:r>
              <w:rPr>
                <w:rFonts w:ascii="Times New Roman" w:eastAsia="宋体" w:hAnsi="Times New Roman" w:cs="Times New Roman" w:hint="eastAsia"/>
                <w:szCs w:val="21"/>
              </w:rPr>
              <w:t>D</w:t>
            </w:r>
          </w:p>
        </w:tc>
      </w:tr>
      <w:tr w:rsidR="00D030B4">
        <w:trPr>
          <w:cantSplit/>
        </w:trPr>
        <w:tc>
          <w:tcPr>
            <w:tcW w:w="2835" w:type="dxa"/>
            <w:vMerge/>
          </w:tcPr>
          <w:p w:rsidR="00D030B4" w:rsidRDefault="00D030B4">
            <w:pPr>
              <w:spacing w:before="50" w:after="50" w:line="300" w:lineRule="auto"/>
              <w:rPr>
                <w:rFonts w:ascii="Times New Roman" w:eastAsia="宋体" w:hAnsi="Times New Roman" w:cs="Times New Roman"/>
                <w:szCs w:val="21"/>
              </w:rPr>
            </w:pPr>
          </w:p>
        </w:tc>
        <w:tc>
          <w:tcPr>
            <w:tcW w:w="1700" w:type="dxa"/>
            <w:tcBorders>
              <w:top w:val="single" w:sz="4" w:space="0" w:color="auto"/>
            </w:tcBorders>
          </w:tcPr>
          <w:p w:rsidR="00D030B4" w:rsidRDefault="004248DB">
            <w:pPr>
              <w:spacing w:before="50" w:after="50" w:line="300" w:lineRule="auto"/>
              <w:jc w:val="center"/>
              <w:rPr>
                <w:rFonts w:ascii="Times New Roman" w:eastAsia="宋体" w:hAnsi="Times New Roman" w:cs="Times New Roman"/>
                <w:i/>
                <w:szCs w:val="21"/>
              </w:rPr>
            </w:pPr>
            <w:r>
              <w:rPr>
                <w:rFonts w:ascii="Times New Roman" w:eastAsia="宋体" w:hAnsi="Times New Roman" w:cs="Times New Roman"/>
                <w:i/>
                <w:szCs w:val="21"/>
              </w:rPr>
              <w:t>m</w:t>
            </w:r>
          </w:p>
        </w:tc>
      </w:tr>
    </w:tbl>
    <w:p w:rsidR="00D030B4" w:rsidRDefault="004248DB">
      <w:pPr>
        <w:tabs>
          <w:tab w:val="left" w:pos="5745"/>
        </w:tabs>
        <w:spacing w:before="50" w:after="50" w:line="300" w:lineRule="auto"/>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式中：</w:t>
      </w:r>
      <w:r>
        <w:rPr>
          <w:rFonts w:ascii="Times New Roman" w:eastAsia="宋体" w:hAnsi="Times New Roman" w:cs="Times New Roman"/>
          <w:i/>
          <w:iCs/>
          <w:color w:val="000000" w:themeColor="text1"/>
          <w:kern w:val="0"/>
          <w:szCs w:val="21"/>
        </w:rPr>
        <w:t xml:space="preserve">ω </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样品中</w:t>
      </w:r>
      <w:r>
        <w:rPr>
          <w:rFonts w:ascii="Times New Roman" w:eastAsia="宋体" w:hAnsi="Times New Roman" w:cs="Times New Roman"/>
          <w:color w:val="000000" w:themeColor="text1"/>
          <w:szCs w:val="21"/>
        </w:rPr>
        <w:t>二甘醇</w:t>
      </w:r>
      <w:r>
        <w:rPr>
          <w:rFonts w:ascii="Times New Roman" w:eastAsia="宋体" w:hAnsi="Times New Roman" w:cs="Times New Roman"/>
          <w:color w:val="000000" w:themeColor="text1"/>
          <w:kern w:val="0"/>
          <w:szCs w:val="21"/>
        </w:rPr>
        <w:t>的含量，</w:t>
      </w:r>
      <w:proofErr w:type="spellStart"/>
      <w:r>
        <w:rPr>
          <w:rFonts w:ascii="Times New Roman" w:eastAsia="宋体" w:hAnsi="Times New Roman" w:cs="Times New Roman"/>
          <w:color w:val="000000" w:themeColor="text1"/>
          <w:szCs w:val="21"/>
        </w:rPr>
        <w:t>μg</w:t>
      </w:r>
      <w:proofErr w:type="spellEnd"/>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kern w:val="0"/>
          <w:szCs w:val="21"/>
        </w:rPr>
        <w:t>g</w:t>
      </w:r>
      <w:r>
        <w:rPr>
          <w:rFonts w:ascii="Times New Roman" w:eastAsia="宋体" w:hAnsi="Times New Roman" w:cs="Times New Roman"/>
          <w:color w:val="000000" w:themeColor="text1"/>
          <w:kern w:val="0"/>
          <w:szCs w:val="21"/>
        </w:rPr>
        <w:t>；</w:t>
      </w:r>
    </w:p>
    <w:p w:rsidR="00D030B4" w:rsidRDefault="004248DB">
      <w:pPr>
        <w:spacing w:before="50" w:after="50" w:line="300" w:lineRule="auto"/>
        <w:ind w:firstLineChars="500" w:firstLine="1050"/>
        <w:rPr>
          <w:rFonts w:ascii="Times New Roman" w:eastAsia="宋体" w:hAnsi="Times New Roman" w:cs="Times New Roman"/>
          <w:color w:val="000000" w:themeColor="text1"/>
          <w:kern w:val="0"/>
          <w:szCs w:val="21"/>
        </w:rPr>
      </w:pPr>
      <w:r>
        <w:rPr>
          <w:rFonts w:ascii="Times New Roman" w:eastAsia="宋体" w:hAnsi="Times New Roman" w:cs="Times New Roman"/>
          <w:i/>
          <w:szCs w:val="21"/>
        </w:rPr>
        <w:sym w:font="Symbol" w:char="F072"/>
      </w:r>
      <w:r>
        <w:rPr>
          <w:rFonts w:ascii="Times New Roman" w:eastAsia="宋体" w:hAnsi="Times New Roman" w:cs="Times New Roman"/>
          <w:i/>
          <w:iCs/>
          <w:color w:val="000000" w:themeColor="text1"/>
          <w:kern w:val="0"/>
          <w:szCs w:val="21"/>
        </w:rPr>
        <w:t xml:space="preserve"> </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样品溶液中</w:t>
      </w:r>
      <w:r>
        <w:rPr>
          <w:rFonts w:ascii="Times New Roman" w:eastAsia="宋体" w:hAnsi="Times New Roman" w:cs="Times New Roman" w:hint="eastAsia"/>
          <w:color w:val="000000" w:themeColor="text1"/>
          <w:kern w:val="0"/>
          <w:szCs w:val="21"/>
        </w:rPr>
        <w:t>二甘醇按照内标法在标准曲线中对应的浓度</w:t>
      </w:r>
      <w:r>
        <w:rPr>
          <w:rFonts w:ascii="Times New Roman" w:eastAsia="宋体" w:hAnsi="Times New Roman" w:cs="Times New Roman"/>
          <w:color w:val="000000" w:themeColor="text1"/>
          <w:kern w:val="0"/>
          <w:szCs w:val="21"/>
        </w:rPr>
        <w:t>，</w:t>
      </w:r>
      <w:proofErr w:type="spellStart"/>
      <w:r>
        <w:rPr>
          <w:rFonts w:ascii="Times New Roman" w:eastAsia="宋体" w:hAnsi="Times New Roman" w:cs="Times New Roman"/>
          <w:color w:val="000000" w:themeColor="text1"/>
          <w:szCs w:val="21"/>
        </w:rPr>
        <w:t>μg</w:t>
      </w:r>
      <w:proofErr w:type="spellEnd"/>
      <w:r>
        <w:rPr>
          <w:rFonts w:ascii="Times New Roman" w:eastAsia="宋体" w:hAnsi="Times New Roman" w:cs="Times New Roman"/>
          <w:color w:val="000000" w:themeColor="text1"/>
          <w:szCs w:val="21"/>
        </w:rPr>
        <w:t>/mL</w:t>
      </w:r>
      <w:r>
        <w:rPr>
          <w:rFonts w:ascii="Times New Roman" w:eastAsia="宋体" w:hAnsi="Times New Roman" w:cs="Times New Roman"/>
          <w:color w:val="000000" w:themeColor="text1"/>
          <w:kern w:val="0"/>
          <w:szCs w:val="21"/>
        </w:rPr>
        <w:t>；</w:t>
      </w:r>
    </w:p>
    <w:p w:rsidR="00D030B4" w:rsidRDefault="004248DB">
      <w:pPr>
        <w:spacing w:before="50" w:after="50" w:line="300" w:lineRule="auto"/>
        <w:ind w:firstLineChars="500" w:firstLine="1050"/>
        <w:rPr>
          <w:rFonts w:ascii="Times New Roman" w:eastAsia="宋体" w:hAnsi="Times New Roman" w:cs="Times New Roman"/>
          <w:i/>
          <w:iCs/>
          <w:color w:val="000000" w:themeColor="text1"/>
          <w:kern w:val="0"/>
          <w:szCs w:val="21"/>
        </w:rPr>
      </w:pPr>
      <w:r>
        <w:rPr>
          <w:rFonts w:ascii="Times New Roman" w:eastAsia="宋体" w:hAnsi="Times New Roman" w:cs="Times New Roman"/>
          <w:szCs w:val="21"/>
        </w:rPr>
        <w:t xml:space="preserve">V </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szCs w:val="21"/>
        </w:rPr>
        <w:t>样品定容体积</w:t>
      </w:r>
      <w:r>
        <w:rPr>
          <w:rFonts w:ascii="Times New Roman" w:eastAsia="宋体" w:hAnsi="Times New Roman" w:cs="Times New Roman" w:hint="eastAsia"/>
          <w:szCs w:val="21"/>
        </w:rPr>
        <w:t>，</w:t>
      </w:r>
      <w:r>
        <w:rPr>
          <w:rFonts w:ascii="Times New Roman" w:eastAsia="宋体" w:hAnsi="Times New Roman" w:cs="Times New Roman" w:hint="eastAsia"/>
          <w:szCs w:val="21"/>
        </w:rPr>
        <w:t>mL</w:t>
      </w:r>
      <w:r>
        <w:rPr>
          <w:rFonts w:ascii="Times New Roman" w:eastAsia="宋体" w:hAnsi="Times New Roman" w:cs="Times New Roman"/>
          <w:szCs w:val="21"/>
        </w:rPr>
        <w:t>；</w:t>
      </w:r>
    </w:p>
    <w:p w:rsidR="00D030B4" w:rsidRDefault="004248DB">
      <w:pPr>
        <w:spacing w:before="50" w:after="50" w:line="300" w:lineRule="auto"/>
        <w:ind w:firstLineChars="500" w:firstLine="1050"/>
        <w:rPr>
          <w:rFonts w:ascii="Times New Roman" w:eastAsia="宋体" w:hAnsi="Times New Roman" w:cs="Times New Roman"/>
          <w:color w:val="000000" w:themeColor="text1"/>
          <w:kern w:val="0"/>
          <w:szCs w:val="21"/>
        </w:rPr>
      </w:pPr>
      <w:r>
        <w:rPr>
          <w:rFonts w:ascii="Times New Roman" w:eastAsia="宋体" w:hAnsi="Times New Roman" w:cs="Times New Roman"/>
          <w:i/>
          <w:iCs/>
          <w:color w:val="000000" w:themeColor="text1"/>
          <w:kern w:val="0"/>
          <w:szCs w:val="21"/>
        </w:rPr>
        <w:t xml:space="preserve">m </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样品称取量，</w:t>
      </w:r>
      <w:r>
        <w:rPr>
          <w:rFonts w:ascii="Times New Roman" w:eastAsia="宋体" w:hAnsi="Times New Roman" w:cs="Times New Roman"/>
          <w:color w:val="000000" w:themeColor="text1"/>
          <w:kern w:val="0"/>
          <w:szCs w:val="21"/>
        </w:rPr>
        <w:t>g</w:t>
      </w:r>
      <w:r>
        <w:rPr>
          <w:rFonts w:ascii="Times New Roman" w:eastAsia="宋体" w:hAnsi="Times New Roman" w:cs="Times New Roman" w:hint="eastAsia"/>
          <w:color w:val="000000" w:themeColor="text1"/>
          <w:kern w:val="0"/>
          <w:szCs w:val="21"/>
        </w:rPr>
        <w:t>；</w:t>
      </w:r>
    </w:p>
    <w:p w:rsidR="00D030B4" w:rsidRDefault="004248DB">
      <w:pPr>
        <w:spacing w:before="50" w:after="50" w:line="300" w:lineRule="auto"/>
        <w:ind w:firstLineChars="500" w:firstLine="1050"/>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 xml:space="preserve">D </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hint="eastAsia"/>
          <w:color w:val="000000" w:themeColor="text1"/>
          <w:kern w:val="0"/>
          <w:szCs w:val="21"/>
        </w:rPr>
        <w:t>稀释体积</w:t>
      </w:r>
      <w:r>
        <w:rPr>
          <w:rFonts w:ascii="Times New Roman" w:eastAsia="宋体" w:hAnsi="Times New Roman" w:cs="Times New Roman"/>
          <w:color w:val="000000" w:themeColor="text1"/>
          <w:kern w:val="0"/>
          <w:szCs w:val="21"/>
        </w:rPr>
        <w:t>。</w:t>
      </w:r>
    </w:p>
    <w:p w:rsidR="00D030B4" w:rsidRDefault="004248DB">
      <w:pPr>
        <w:spacing w:beforeLines="50" w:before="156" w:afterLines="50" w:after="156" w:line="300" w:lineRule="auto"/>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在重复性条件下获得的两次独立测试结果的绝对差值不得超过算术平均值的</w:t>
      </w:r>
      <w:r>
        <w:rPr>
          <w:rFonts w:ascii="Times New Roman" w:eastAsia="宋体" w:hAnsi="Times New Roman" w:cs="Times New Roman"/>
          <w:color w:val="000000" w:themeColor="text1"/>
          <w:kern w:val="0"/>
          <w:szCs w:val="21"/>
        </w:rPr>
        <w:t>10%</w:t>
      </w:r>
      <w:r>
        <w:rPr>
          <w:rFonts w:ascii="Times New Roman" w:eastAsia="宋体" w:hAnsi="Times New Roman" w:cs="Times New Roman"/>
          <w:color w:val="000000" w:themeColor="text1"/>
          <w:kern w:val="0"/>
          <w:szCs w:val="21"/>
        </w:rPr>
        <w:t>。</w:t>
      </w:r>
    </w:p>
    <w:p w:rsidR="00D030B4" w:rsidRDefault="004248DB">
      <w:pPr>
        <w:spacing w:beforeLines="50" w:before="156" w:afterLines="50" w:after="156" w:line="300" w:lineRule="auto"/>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 xml:space="preserve">6.2  </w:t>
      </w:r>
      <w:r>
        <w:rPr>
          <w:rFonts w:ascii="Times New Roman" w:eastAsia="宋体" w:hAnsi="Times New Roman" w:cs="Times New Roman"/>
          <w:bCs/>
          <w:color w:val="000000" w:themeColor="text1"/>
          <w:szCs w:val="21"/>
        </w:rPr>
        <w:t>回收率和精密度</w:t>
      </w:r>
    </w:p>
    <w:p w:rsidR="00D030B4" w:rsidRDefault="004248DB">
      <w:pPr>
        <w:spacing w:before="50" w:after="50" w:line="300" w:lineRule="auto"/>
        <w:ind w:firstLine="418"/>
        <w:rPr>
          <w:rFonts w:ascii="Times New Roman" w:eastAsia="宋体" w:hAnsi="Times New Roman" w:cs="Times New Roman"/>
          <w:bCs/>
          <w:color w:val="000000" w:themeColor="text1"/>
          <w:szCs w:val="21"/>
        </w:rPr>
      </w:pPr>
      <w:r>
        <w:rPr>
          <w:rFonts w:ascii="Times New Roman" w:eastAsia="宋体" w:hAnsi="Times New Roman" w:cs="Times New Roman"/>
          <w:color w:val="000000" w:themeColor="text1"/>
          <w:szCs w:val="21"/>
        </w:rPr>
        <w:t>多家实验室的回收率为</w:t>
      </w:r>
      <w:r>
        <w:rPr>
          <w:rFonts w:ascii="Times New Roman" w:eastAsia="宋体" w:hAnsi="Times New Roman" w:cs="Times New Roman"/>
          <w:bCs/>
          <w:color w:val="000000" w:themeColor="text1"/>
          <w:szCs w:val="21"/>
        </w:rPr>
        <w:t>86.6</w:t>
      </w:r>
      <w:r w:rsidR="00D2424F">
        <w:rPr>
          <w:rFonts w:ascii="Times New Roman" w:eastAsia="宋体" w:hAnsi="Times New Roman" w:cs="Times New Roman" w:hint="eastAsia"/>
          <w:bCs/>
          <w:color w:val="000000" w:themeColor="text1"/>
          <w:szCs w:val="21"/>
        </w:rPr>
        <w:t xml:space="preserve"> </w:t>
      </w:r>
      <w:r>
        <w:rPr>
          <w:rFonts w:ascii="Times New Roman" w:eastAsia="宋体" w:hAnsi="Times New Roman" w:cs="Times New Roman"/>
          <w:bCs/>
          <w:color w:val="000000" w:themeColor="text1"/>
          <w:szCs w:val="21"/>
        </w:rPr>
        <w:t>~118.4%</w:t>
      </w:r>
      <w:r>
        <w:rPr>
          <w:rFonts w:ascii="Times New Roman" w:eastAsia="宋体" w:hAnsi="Times New Roman" w:cs="Times New Roman"/>
          <w:bCs/>
          <w:color w:val="000000" w:themeColor="text1"/>
          <w:szCs w:val="21"/>
        </w:rPr>
        <w:t>，</w:t>
      </w:r>
      <w:r>
        <w:rPr>
          <w:rFonts w:ascii="Times New Roman" w:eastAsia="宋体" w:hAnsi="Times New Roman" w:cs="Times New Roman"/>
          <w:color w:val="000000" w:themeColor="text1"/>
          <w:szCs w:val="21"/>
        </w:rPr>
        <w:t>相对标准偏差小于</w:t>
      </w:r>
      <w:r>
        <w:rPr>
          <w:rFonts w:ascii="Times New Roman" w:eastAsia="宋体" w:hAnsi="Times New Roman" w:cs="Times New Roman"/>
          <w:bCs/>
          <w:color w:val="000000" w:themeColor="text1"/>
          <w:szCs w:val="21"/>
        </w:rPr>
        <w:t>10%</w:t>
      </w:r>
      <w:r>
        <w:rPr>
          <w:rFonts w:ascii="Times New Roman" w:eastAsia="宋体" w:hAnsi="Times New Roman" w:cs="Times New Roman"/>
          <w:bCs/>
          <w:color w:val="000000" w:themeColor="text1"/>
          <w:szCs w:val="21"/>
        </w:rPr>
        <w:t>（</w:t>
      </w:r>
      <w:r>
        <w:rPr>
          <w:rFonts w:ascii="Times New Roman" w:eastAsia="宋体" w:hAnsi="Times New Roman" w:cs="Times New Roman"/>
          <w:bCs/>
          <w:color w:val="000000" w:themeColor="text1"/>
          <w:szCs w:val="21"/>
        </w:rPr>
        <w:t>n=6</w:t>
      </w:r>
      <w:r>
        <w:rPr>
          <w:rFonts w:ascii="Times New Roman" w:eastAsia="宋体" w:hAnsi="Times New Roman" w:cs="Times New Roman"/>
          <w:bCs/>
          <w:color w:val="000000" w:themeColor="text1"/>
          <w:szCs w:val="21"/>
        </w:rPr>
        <w:t>）。</w:t>
      </w:r>
    </w:p>
    <w:p w:rsidR="00D030B4" w:rsidRDefault="004248DB">
      <w:pPr>
        <w:spacing w:beforeLines="50" w:before="156" w:afterLines="50" w:after="156" w:line="300" w:lineRule="auto"/>
        <w:rPr>
          <w:rFonts w:ascii="Times New Roman" w:eastAsia="宋体" w:hAnsi="Times New Roman" w:cs="Times New Roman"/>
          <w:bCs/>
          <w:color w:val="000000" w:themeColor="text1"/>
          <w:szCs w:val="21"/>
        </w:rPr>
      </w:pPr>
      <w:r w:rsidRPr="00D2424F">
        <w:rPr>
          <w:rFonts w:ascii="Times New Roman" w:eastAsia="宋体" w:hAnsi="Times New Roman" w:cs="Times New Roman"/>
          <w:noProof/>
          <w:szCs w:val="21"/>
        </w:rPr>
        <mc:AlternateContent>
          <mc:Choice Requires="wpg">
            <w:drawing>
              <wp:anchor distT="0" distB="0" distL="114300" distR="114300" simplePos="0" relativeHeight="251659264" behindDoc="0" locked="0" layoutInCell="1" allowOverlap="1" wp14:anchorId="149CF7FB" wp14:editId="64E221B0">
                <wp:simplePos x="0" y="0"/>
                <wp:positionH relativeFrom="column">
                  <wp:posOffset>2515870</wp:posOffset>
                </wp:positionH>
                <wp:positionV relativeFrom="paragraph">
                  <wp:posOffset>406400</wp:posOffset>
                </wp:positionV>
                <wp:extent cx="647700" cy="1090930"/>
                <wp:effectExtent l="0" t="0" r="0" b="0"/>
                <wp:wrapNone/>
                <wp:docPr id="1" name="组合 1"/>
                <wp:cNvGraphicFramePr/>
                <a:graphic xmlns:a="http://schemas.openxmlformats.org/drawingml/2006/main">
                  <a:graphicData uri="http://schemas.microsoft.com/office/word/2010/wordprocessingGroup">
                    <wpg:wgp>
                      <wpg:cNvGrpSpPr/>
                      <wpg:grpSpPr>
                        <a:xfrm>
                          <a:off x="0" y="0"/>
                          <a:ext cx="647700" cy="1090613"/>
                          <a:chOff x="9525" y="-4763"/>
                          <a:chExt cx="647700" cy="1090613"/>
                        </a:xfrm>
                      </wpg:grpSpPr>
                      <wps:wsp>
                        <wps:cNvPr id="5" name="文本框 2"/>
                        <wps:cNvSpPr txBox="1">
                          <a:spLocks noChangeArrowheads="1"/>
                        </wps:cNvSpPr>
                        <wps:spPr bwMode="auto">
                          <a:xfrm>
                            <a:off x="447675" y="-4763"/>
                            <a:ext cx="209550" cy="276225"/>
                          </a:xfrm>
                          <a:prstGeom prst="rect">
                            <a:avLst/>
                          </a:prstGeom>
                          <a:noFill/>
                          <a:ln w="9525">
                            <a:noFill/>
                            <a:miter lim="800000"/>
                          </a:ln>
                        </wps:spPr>
                        <wps:txbx>
                          <w:txbxContent>
                            <w:p w:rsidR="00D030B4" w:rsidRDefault="004248DB">
                              <w:pPr>
                                <w:rPr>
                                  <w:rFonts w:ascii="Times New Roman" w:hAnsi="Times New Roman" w:cs="Times New Roman"/>
                                  <w:b/>
                                  <w:sz w:val="18"/>
                                  <w:szCs w:val="18"/>
                                </w:rPr>
                              </w:pPr>
                              <w:r>
                                <w:rPr>
                                  <w:rFonts w:ascii="Times New Roman" w:hAnsi="Times New Roman" w:cs="Times New Roman"/>
                                  <w:b/>
                                  <w:sz w:val="18"/>
                                  <w:szCs w:val="18"/>
                                </w:rPr>
                                <w:t>1</w:t>
                              </w:r>
                            </w:p>
                          </w:txbxContent>
                        </wps:txbx>
                        <wps:bodyPr rot="0" vert="horz" wrap="square" lIns="91440" tIns="45720" rIns="91440" bIns="45720" anchor="t" anchorCtr="0">
                          <a:noAutofit/>
                        </wps:bodyPr>
                      </wps:wsp>
                      <wps:wsp>
                        <wps:cNvPr id="6" name="文本框 2"/>
                        <wps:cNvSpPr txBox="1">
                          <a:spLocks noChangeArrowheads="1"/>
                        </wps:cNvSpPr>
                        <wps:spPr bwMode="auto">
                          <a:xfrm>
                            <a:off x="9525" y="809625"/>
                            <a:ext cx="209550" cy="276225"/>
                          </a:xfrm>
                          <a:prstGeom prst="rect">
                            <a:avLst/>
                          </a:prstGeom>
                          <a:noFill/>
                          <a:ln w="9525">
                            <a:noFill/>
                            <a:miter lim="800000"/>
                          </a:ln>
                        </wps:spPr>
                        <wps:txbx>
                          <w:txbxContent>
                            <w:p w:rsidR="00D030B4" w:rsidRDefault="004248DB">
                              <w:pPr>
                                <w:rPr>
                                  <w:rFonts w:ascii="Times New Roman" w:hAnsi="Times New Roman" w:cs="Times New Roman"/>
                                  <w:b/>
                                  <w:sz w:val="18"/>
                                  <w:szCs w:val="18"/>
                                </w:rPr>
                              </w:pPr>
                              <w:r>
                                <w:rPr>
                                  <w:rFonts w:ascii="Times New Roman" w:hAnsi="Times New Roman" w:cs="Times New Roman"/>
                                  <w:b/>
                                  <w:sz w:val="18"/>
                                  <w:szCs w:val="18"/>
                                </w:rPr>
                                <w:t>2</w:t>
                              </w:r>
                            </w:p>
                          </w:txbxContent>
                        </wps:txbx>
                        <wps:bodyPr rot="0" vert="horz" wrap="square" lIns="91440" tIns="45720" rIns="91440" bIns="45720" anchor="t" anchorCtr="0">
                          <a:noAutofit/>
                        </wps:bodyPr>
                      </wps:wsp>
                    </wpg:wgp>
                  </a:graphicData>
                </a:graphic>
              </wp:anchor>
            </w:drawing>
          </mc:Choice>
          <mc:Fallback>
            <w:pict>
              <v:group id="组合 1" o:spid="_x0000_s1026" style="position:absolute;left:0;text-align:left;margin-left:198.1pt;margin-top:32pt;width:51pt;height:85.9pt;z-index:251659264" coordorigin="95,-47" coordsize="6477,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">
                <v:shapetype id="_x0000_t202" coordsize="21600,21600" o:spt="202" path="m,l,21600r21600,l21600,xe">
                  <v:stroke joinstyle="miter"/>
                  <v:path gradientshapeok="t" o:connecttype="rect"/>
                </v:shapetype>
                <v:shape id="文本框 2" o:spid="_x0000_s1027" type="#_x0000_t202" style="position:absolute;left:4476;top:-47;width:2096;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030B4" w:rsidRDefault="004248DB">
                        <w:pPr>
                          <w:rPr>
                            <w:rFonts w:ascii="Times New Roman" w:hAnsi="Times New Roman" w:cs="Times New Roman"/>
                            <w:b/>
                            <w:sz w:val="18"/>
                            <w:szCs w:val="18"/>
                          </w:rPr>
                        </w:pPr>
                        <w:r>
                          <w:rPr>
                            <w:rFonts w:ascii="Times New Roman" w:hAnsi="Times New Roman" w:cs="Times New Roman"/>
                            <w:b/>
                            <w:sz w:val="18"/>
                            <w:szCs w:val="18"/>
                          </w:rPr>
                          <w:t>1</w:t>
                        </w:r>
                      </w:p>
                    </w:txbxContent>
                  </v:textbox>
                </v:shape>
                <v:shape id="文本框 2" o:spid="_x0000_s1028" type="#_x0000_t202" style="position:absolute;left:95;top:8096;width:209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030B4" w:rsidRDefault="004248DB">
                        <w:pPr>
                          <w:rPr>
                            <w:rFonts w:ascii="Times New Roman" w:hAnsi="Times New Roman" w:cs="Times New Roman"/>
                            <w:b/>
                            <w:sz w:val="18"/>
                            <w:szCs w:val="18"/>
                          </w:rPr>
                        </w:pPr>
                        <w:r>
                          <w:rPr>
                            <w:rFonts w:ascii="Times New Roman" w:hAnsi="Times New Roman" w:cs="Times New Roman"/>
                            <w:b/>
                            <w:sz w:val="18"/>
                            <w:szCs w:val="18"/>
                          </w:rPr>
                          <w:t>2</w:t>
                        </w:r>
                      </w:p>
                    </w:txbxContent>
                  </v:textbox>
                </v:shape>
              </v:group>
            </w:pict>
          </mc:Fallback>
        </mc:AlternateContent>
      </w:r>
      <w:r>
        <w:rPr>
          <w:rFonts w:ascii="Times New Roman" w:eastAsia="宋体" w:hAnsi="Times New Roman" w:cs="Times New Roman"/>
          <w:b/>
          <w:color w:val="000000" w:themeColor="text1"/>
          <w:szCs w:val="21"/>
        </w:rPr>
        <w:t>7</w:t>
      </w:r>
      <w:r>
        <w:rPr>
          <w:rFonts w:ascii="Times New Roman" w:eastAsia="宋体" w:hAnsi="Times New Roman" w:cs="Times New Roman"/>
          <w:bCs/>
          <w:color w:val="000000" w:themeColor="text1"/>
          <w:szCs w:val="21"/>
        </w:rPr>
        <w:t xml:space="preserve">  </w:t>
      </w:r>
      <w:r>
        <w:rPr>
          <w:rFonts w:ascii="黑体" w:eastAsia="黑体" w:hAnsi="黑体" w:cs="Times New Roman"/>
          <w:bCs/>
          <w:color w:val="000000" w:themeColor="text1"/>
          <w:szCs w:val="21"/>
        </w:rPr>
        <w:t>图谱</w:t>
      </w:r>
    </w:p>
    <w:p w:rsidR="00D030B4" w:rsidRDefault="004248DB">
      <w:pPr>
        <w:spacing w:before="50" w:after="50" w:line="300" w:lineRule="auto"/>
        <w:rPr>
          <w:rFonts w:ascii="Times New Roman" w:eastAsia="宋体" w:hAnsi="Times New Roman" w:cs="Times New Roman"/>
          <w:b/>
          <w:color w:val="000000" w:themeColor="text1"/>
          <w:szCs w:val="21"/>
        </w:rPr>
      </w:pPr>
      <w:r>
        <w:rPr>
          <w:noProof/>
        </w:rPr>
        <w:drawing>
          <wp:inline distT="0" distB="0" distL="0" distR="0" wp14:anchorId="44012929" wp14:editId="7B94E0A8">
            <wp:extent cx="5270500" cy="1976755"/>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extLst>
                        <a:ext uri="{28A0092B-C50C-407E-A947-70E740481C1C}">
                          <a14:useLocalDpi xmlns:a14="http://schemas.microsoft.com/office/drawing/2010/main" val="0"/>
                        </a:ext>
                      </a:extLst>
                    </a:blip>
                    <a:srcRect t="29661"/>
                    <a:stretch>
                      <a:fillRect/>
                    </a:stretch>
                  </pic:blipFill>
                  <pic:spPr>
                    <a:xfrm>
                      <a:off x="0" y="0"/>
                      <a:ext cx="5270500" cy="1976755"/>
                    </a:xfrm>
                    <a:prstGeom prst="rect">
                      <a:avLst/>
                    </a:prstGeom>
                    <a:noFill/>
                  </pic:spPr>
                </pic:pic>
              </a:graphicData>
            </a:graphic>
          </wp:inline>
        </w:drawing>
      </w:r>
    </w:p>
    <w:p w:rsidR="00D030B4" w:rsidRDefault="004248DB" w:rsidP="00D2424F">
      <w:pPr>
        <w:snapToGrid w:val="0"/>
        <w:spacing w:before="50" w:after="50" w:line="300" w:lineRule="auto"/>
        <w:ind w:leftChars="200" w:left="1258" w:hangingChars="399" w:hanging="838"/>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：二甘醇；</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proofErr w:type="gramStart"/>
      <w:r>
        <w:rPr>
          <w:rFonts w:ascii="Times New Roman" w:eastAsia="宋体" w:hAnsi="Times New Roman" w:cs="Times New Roman"/>
          <w:bCs/>
          <w:color w:val="000000" w:themeColor="text1"/>
          <w:szCs w:val="21"/>
        </w:rPr>
        <w:t>氘代二</w:t>
      </w:r>
      <w:proofErr w:type="gramEnd"/>
      <w:r>
        <w:rPr>
          <w:rFonts w:ascii="Times New Roman" w:eastAsia="宋体" w:hAnsi="Times New Roman" w:cs="Times New Roman"/>
          <w:bCs/>
          <w:color w:val="000000" w:themeColor="text1"/>
          <w:szCs w:val="21"/>
        </w:rPr>
        <w:t>甘醇</w:t>
      </w:r>
      <w:r>
        <w:rPr>
          <w:rFonts w:ascii="Times New Roman" w:eastAsia="宋体" w:hAnsi="Times New Roman" w:cs="Times New Roman"/>
          <w:bCs/>
          <w:color w:val="000000" w:themeColor="text1"/>
          <w:szCs w:val="21"/>
        </w:rPr>
        <w:t>-D</w:t>
      </w:r>
      <w:r>
        <w:rPr>
          <w:rFonts w:ascii="Times New Roman" w:eastAsia="宋体" w:hAnsi="Times New Roman" w:cs="Times New Roman"/>
          <w:bCs/>
          <w:color w:val="000000" w:themeColor="text1"/>
          <w:szCs w:val="21"/>
          <w:vertAlign w:val="subscript"/>
        </w:rPr>
        <w:t>8</w:t>
      </w:r>
      <w:r>
        <w:rPr>
          <w:rFonts w:ascii="Times New Roman" w:eastAsia="宋体" w:hAnsi="Times New Roman" w:cs="Times New Roman"/>
          <w:bCs/>
          <w:color w:val="000000" w:themeColor="text1"/>
          <w:szCs w:val="21"/>
        </w:rPr>
        <w:t>（</w:t>
      </w:r>
      <w:r>
        <w:rPr>
          <w:rFonts w:ascii="Times New Roman" w:eastAsia="宋体" w:hAnsi="Times New Roman" w:cs="Times New Roman"/>
          <w:color w:val="000000" w:themeColor="text1"/>
          <w:szCs w:val="21"/>
        </w:rPr>
        <w:t>内标</w:t>
      </w:r>
      <w:r>
        <w:rPr>
          <w:rFonts w:ascii="Times New Roman" w:eastAsia="宋体" w:hAnsi="Times New Roman" w:cs="Times New Roman"/>
          <w:bCs/>
          <w:color w:val="000000" w:themeColor="text1"/>
          <w:szCs w:val="21"/>
        </w:rPr>
        <w:t>）</w:t>
      </w:r>
    </w:p>
    <w:p w:rsidR="00D030B4" w:rsidRDefault="004248DB">
      <w:pPr>
        <w:snapToGrid w:val="0"/>
        <w:spacing w:beforeLines="50" w:before="156" w:afterLines="50" w:after="156" w:line="300" w:lineRule="auto"/>
        <w:jc w:val="center"/>
        <w:rPr>
          <w:rFonts w:ascii="Times New Roman" w:eastAsia="黑体" w:hAnsi="Times New Roman" w:cs="Times New Roman"/>
          <w:bCs/>
          <w:color w:val="000000" w:themeColor="text1"/>
          <w:szCs w:val="21"/>
        </w:rPr>
      </w:pPr>
      <w:r>
        <w:rPr>
          <w:rFonts w:ascii="Times New Roman" w:eastAsia="黑体" w:hAnsi="Times New Roman" w:cs="Times New Roman" w:hint="eastAsia"/>
          <w:bCs/>
          <w:color w:val="000000" w:themeColor="text1"/>
          <w:szCs w:val="21"/>
        </w:rPr>
        <w:t>图</w:t>
      </w:r>
      <w:r>
        <w:rPr>
          <w:rFonts w:ascii="Times New Roman" w:eastAsia="黑体" w:hAnsi="Times New Roman" w:cs="Times New Roman" w:hint="eastAsia"/>
          <w:bCs/>
          <w:color w:val="000000" w:themeColor="text1"/>
          <w:szCs w:val="21"/>
        </w:rPr>
        <w:t>1</w:t>
      </w:r>
      <w:r>
        <w:rPr>
          <w:rFonts w:ascii="Times New Roman" w:eastAsia="黑体" w:hAnsi="Times New Roman" w:cs="Times New Roman"/>
          <w:bCs/>
          <w:color w:val="000000" w:themeColor="text1"/>
          <w:szCs w:val="21"/>
        </w:rPr>
        <w:t xml:space="preserve">  </w:t>
      </w:r>
      <w:r>
        <w:rPr>
          <w:rFonts w:ascii="Times New Roman" w:eastAsia="黑体" w:hAnsi="Times New Roman" w:cs="Times New Roman"/>
          <w:bCs/>
          <w:color w:val="000000" w:themeColor="text1"/>
          <w:szCs w:val="21"/>
        </w:rPr>
        <w:t>标准溶液</w:t>
      </w:r>
      <w:r>
        <w:rPr>
          <w:rFonts w:ascii="Times New Roman" w:eastAsia="黑体" w:hAnsi="Times New Roman" w:cs="Times New Roman"/>
          <w:bCs/>
          <w:color w:val="000000" w:themeColor="text1"/>
          <w:szCs w:val="21"/>
        </w:rPr>
        <w:t>GC-MS</w:t>
      </w:r>
      <w:r>
        <w:rPr>
          <w:rFonts w:ascii="Times New Roman" w:eastAsia="黑体" w:hAnsi="Times New Roman" w:cs="Times New Roman"/>
          <w:bCs/>
          <w:color w:val="000000" w:themeColor="text1"/>
          <w:szCs w:val="21"/>
        </w:rPr>
        <w:t>总离子流和定量离子提取离子流色谱图</w:t>
      </w:r>
      <w:r>
        <w:rPr>
          <w:rFonts w:ascii="Times New Roman" w:eastAsia="黑体" w:hAnsi="Times New Roman" w:cs="Times New Roman" w:hint="eastAsia"/>
          <w:bCs/>
          <w:color w:val="000000" w:themeColor="text1"/>
          <w:szCs w:val="21"/>
        </w:rPr>
        <w:t>（选择离子监测模式）</w:t>
      </w: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2424F" w:rsidRDefault="00D2424F">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4248DB">
      <w:pPr>
        <w:snapToGrid w:val="0"/>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lastRenderedPageBreak/>
        <w:t>附录</w:t>
      </w:r>
      <w:r>
        <w:rPr>
          <w:rFonts w:ascii="Times New Roman" w:eastAsia="黑体" w:hAnsi="Times New Roman" w:cs="Times New Roman"/>
          <w:color w:val="000000" w:themeColor="text1"/>
          <w:szCs w:val="21"/>
        </w:rPr>
        <w:t xml:space="preserve"> A</w:t>
      </w:r>
    </w:p>
    <w:p w:rsidR="00D030B4" w:rsidRDefault="004248DB">
      <w:pPr>
        <w:pStyle w:val="20"/>
        <w:snapToGrid w:val="0"/>
        <w:spacing w:beforeLines="50" w:before="156" w:afterLines="50" w:after="156" w:line="300" w:lineRule="auto"/>
        <w:ind w:leftChars="0" w:left="0" w:firstLineChars="0" w:firstLine="0"/>
        <w:jc w:val="center"/>
        <w:rPr>
          <w:color w:val="000000" w:themeColor="text1"/>
          <w:szCs w:val="21"/>
        </w:rPr>
      </w:pPr>
      <w:r>
        <w:rPr>
          <w:color w:val="000000" w:themeColor="text1"/>
          <w:kern w:val="0"/>
          <w:szCs w:val="21"/>
        </w:rPr>
        <w:t>（资料性附录）</w:t>
      </w:r>
    </w:p>
    <w:p w:rsidR="00D030B4" w:rsidRDefault="004248DB">
      <w:pPr>
        <w:snapToGrid w:val="0"/>
        <w:spacing w:beforeLines="50" w:before="156" w:afterLines="50" w:after="156" w:line="300" w:lineRule="auto"/>
        <w:jc w:val="center"/>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kern w:val="0"/>
          <w:szCs w:val="21"/>
        </w:rPr>
        <w:t>表</w:t>
      </w:r>
      <w:r>
        <w:rPr>
          <w:rFonts w:ascii="Times New Roman" w:eastAsia="黑体" w:hAnsi="Times New Roman" w:cs="Times New Roman"/>
          <w:color w:val="000000" w:themeColor="text1"/>
          <w:kern w:val="0"/>
          <w:szCs w:val="21"/>
        </w:rPr>
        <w:t xml:space="preserve">A.1  </w:t>
      </w:r>
      <w:r>
        <w:rPr>
          <w:rFonts w:ascii="Times New Roman" w:eastAsia="黑体" w:hAnsi="Times New Roman" w:cs="Times New Roman"/>
          <w:bCs/>
          <w:color w:val="000000" w:themeColor="text1"/>
          <w:szCs w:val="21"/>
        </w:rPr>
        <w:t>二甘醇及</w:t>
      </w:r>
      <w:proofErr w:type="gramStart"/>
      <w:r>
        <w:rPr>
          <w:rFonts w:ascii="Times New Roman" w:eastAsia="黑体" w:hAnsi="Times New Roman" w:cs="Times New Roman"/>
          <w:bCs/>
          <w:color w:val="000000" w:themeColor="text1"/>
          <w:szCs w:val="21"/>
        </w:rPr>
        <w:t>氘代二</w:t>
      </w:r>
      <w:proofErr w:type="gramEnd"/>
      <w:r>
        <w:rPr>
          <w:rFonts w:ascii="Times New Roman" w:eastAsia="黑体" w:hAnsi="Times New Roman" w:cs="Times New Roman"/>
          <w:bCs/>
          <w:color w:val="000000" w:themeColor="text1"/>
          <w:szCs w:val="21"/>
        </w:rPr>
        <w:t>甘醇</w:t>
      </w:r>
      <w:r>
        <w:rPr>
          <w:rFonts w:ascii="Times New Roman" w:eastAsia="宋体" w:hAnsi="Times New Roman" w:cs="Times New Roman"/>
          <w:bCs/>
          <w:color w:val="000000" w:themeColor="text1"/>
          <w:szCs w:val="21"/>
        </w:rPr>
        <w:t>-D</w:t>
      </w:r>
      <w:r>
        <w:rPr>
          <w:rFonts w:ascii="Times New Roman" w:eastAsia="宋体" w:hAnsi="Times New Roman" w:cs="Times New Roman"/>
          <w:bCs/>
          <w:color w:val="000000" w:themeColor="text1"/>
          <w:szCs w:val="21"/>
          <w:vertAlign w:val="subscript"/>
        </w:rPr>
        <w:t>8</w:t>
      </w:r>
      <w:r>
        <w:rPr>
          <w:rFonts w:ascii="Times New Roman" w:eastAsia="黑体" w:hAnsi="Times New Roman" w:cs="Times New Roman"/>
          <w:bCs/>
          <w:color w:val="000000" w:themeColor="text1"/>
          <w:szCs w:val="21"/>
        </w:rPr>
        <w:t>标准品</w:t>
      </w:r>
      <w:r>
        <w:rPr>
          <w:rFonts w:ascii="Times New Roman" w:eastAsia="黑体" w:hAnsi="Times New Roman" w:cs="Times New Roman"/>
          <w:color w:val="000000" w:themeColor="text1"/>
          <w:szCs w:val="21"/>
        </w:rPr>
        <w:t>信息表</w:t>
      </w:r>
    </w:p>
    <w:tbl>
      <w:tblPr>
        <w:tblW w:w="7747" w:type="dxa"/>
        <w:jc w:val="center"/>
        <w:shd w:val="clear" w:color="000000" w:fill="auto"/>
        <w:tblLayout w:type="fixed"/>
        <w:tblLook w:val="04A0" w:firstRow="1" w:lastRow="0" w:firstColumn="1" w:lastColumn="0" w:noHBand="0" w:noVBand="1"/>
      </w:tblPr>
      <w:tblGrid>
        <w:gridCol w:w="726"/>
        <w:gridCol w:w="1747"/>
        <w:gridCol w:w="1643"/>
        <w:gridCol w:w="1701"/>
        <w:gridCol w:w="1930"/>
      </w:tblGrid>
      <w:tr w:rsidR="00D030B4">
        <w:trPr>
          <w:trHeight w:hRule="exact" w:val="488"/>
          <w:jc w:val="center"/>
        </w:trPr>
        <w:tc>
          <w:tcPr>
            <w:tcW w:w="726" w:type="dxa"/>
            <w:tcBorders>
              <w:top w:val="single" w:sz="8" w:space="0" w:color="auto"/>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序号</w:t>
            </w:r>
          </w:p>
        </w:tc>
        <w:tc>
          <w:tcPr>
            <w:tcW w:w="1747" w:type="dxa"/>
            <w:tcBorders>
              <w:top w:val="single" w:sz="8" w:space="0" w:color="auto"/>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中文</w:t>
            </w:r>
            <w:r>
              <w:rPr>
                <w:rFonts w:ascii="Times New Roman" w:eastAsia="宋体" w:hAnsi="Times New Roman" w:cs="Times New Roman"/>
                <w:color w:val="000000" w:themeColor="text1"/>
                <w:kern w:val="0"/>
                <w:szCs w:val="21"/>
              </w:rPr>
              <w:t>名称</w:t>
            </w:r>
          </w:p>
        </w:tc>
        <w:tc>
          <w:tcPr>
            <w:tcW w:w="1643" w:type="dxa"/>
            <w:tcBorders>
              <w:top w:val="single" w:sz="8" w:space="0" w:color="auto"/>
              <w:left w:val="nil"/>
              <w:bottom w:val="single" w:sz="8" w:space="0" w:color="auto"/>
              <w:right w:val="nil"/>
            </w:tcBorders>
            <w:shd w:val="clear" w:color="000000" w:fill="auto"/>
            <w:vAlign w:val="center"/>
          </w:tcPr>
          <w:p w:rsidR="00D030B4" w:rsidRDefault="004248DB">
            <w:pPr>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CAS</w:t>
            </w:r>
            <w:r>
              <w:rPr>
                <w:rFonts w:ascii="Times New Roman" w:eastAsia="宋体" w:hAnsi="Times New Roman" w:cs="Times New Roman"/>
                <w:color w:val="000000" w:themeColor="text1"/>
                <w:kern w:val="0"/>
                <w:szCs w:val="21"/>
              </w:rPr>
              <w:t>号</w:t>
            </w:r>
          </w:p>
        </w:tc>
        <w:tc>
          <w:tcPr>
            <w:tcW w:w="1701" w:type="dxa"/>
            <w:tcBorders>
              <w:top w:val="single" w:sz="8" w:space="0" w:color="auto"/>
              <w:left w:val="nil"/>
              <w:bottom w:val="single" w:sz="8" w:space="0" w:color="auto"/>
              <w:right w:val="nil"/>
            </w:tcBorders>
            <w:shd w:val="clear" w:color="000000" w:fill="auto"/>
            <w:vAlign w:val="center"/>
          </w:tcPr>
          <w:p w:rsidR="00D030B4" w:rsidRDefault="004248DB">
            <w:pPr>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分子式</w:t>
            </w:r>
          </w:p>
        </w:tc>
        <w:tc>
          <w:tcPr>
            <w:tcW w:w="1930" w:type="dxa"/>
            <w:tcBorders>
              <w:top w:val="single" w:sz="8" w:space="0" w:color="auto"/>
              <w:left w:val="nil"/>
              <w:bottom w:val="single" w:sz="8" w:space="0" w:color="auto"/>
              <w:right w:val="nil"/>
            </w:tcBorders>
            <w:shd w:val="clear" w:color="000000" w:fill="auto"/>
            <w:vAlign w:val="center"/>
          </w:tcPr>
          <w:p w:rsidR="00D030B4" w:rsidRDefault="004248DB">
            <w:pPr>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相对分子质量</w:t>
            </w:r>
          </w:p>
        </w:tc>
      </w:tr>
      <w:tr w:rsidR="00D030B4">
        <w:trPr>
          <w:trHeight w:hRule="exact" w:val="431"/>
          <w:jc w:val="center"/>
        </w:trPr>
        <w:tc>
          <w:tcPr>
            <w:tcW w:w="726" w:type="dxa"/>
            <w:tcBorders>
              <w:top w:val="single" w:sz="8" w:space="0" w:color="auto"/>
              <w:left w:val="nil"/>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w:t>
            </w:r>
          </w:p>
        </w:tc>
        <w:tc>
          <w:tcPr>
            <w:tcW w:w="1747" w:type="dxa"/>
            <w:tcBorders>
              <w:top w:val="single" w:sz="8" w:space="0" w:color="auto"/>
              <w:left w:val="nil"/>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bCs/>
                <w:color w:val="000000" w:themeColor="text1"/>
                <w:szCs w:val="21"/>
              </w:rPr>
              <w:t>二甘醇</w:t>
            </w:r>
          </w:p>
        </w:tc>
        <w:tc>
          <w:tcPr>
            <w:tcW w:w="1643" w:type="dxa"/>
            <w:tcBorders>
              <w:top w:val="single" w:sz="8" w:space="0" w:color="auto"/>
              <w:left w:val="nil"/>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111-46-6</w:t>
            </w:r>
          </w:p>
        </w:tc>
        <w:tc>
          <w:tcPr>
            <w:tcW w:w="1701" w:type="dxa"/>
            <w:tcBorders>
              <w:top w:val="single" w:sz="8" w:space="0" w:color="auto"/>
              <w:left w:val="nil"/>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C</w:t>
            </w:r>
            <w:r>
              <w:rPr>
                <w:rFonts w:ascii="Times New Roman" w:eastAsia="宋体" w:hAnsi="Times New Roman" w:cs="Times New Roman"/>
                <w:color w:val="000000" w:themeColor="text1"/>
                <w:kern w:val="0"/>
                <w:szCs w:val="21"/>
                <w:vertAlign w:val="subscript"/>
              </w:rPr>
              <w:t>4</w:t>
            </w:r>
            <w:r>
              <w:rPr>
                <w:rFonts w:ascii="Times New Roman" w:eastAsia="宋体" w:hAnsi="Times New Roman" w:cs="Times New Roman"/>
                <w:color w:val="000000" w:themeColor="text1"/>
                <w:kern w:val="0"/>
                <w:szCs w:val="21"/>
              </w:rPr>
              <w:t>H</w:t>
            </w:r>
            <w:r>
              <w:rPr>
                <w:rFonts w:ascii="Times New Roman" w:eastAsia="宋体" w:hAnsi="Times New Roman" w:cs="Times New Roman"/>
                <w:color w:val="000000" w:themeColor="text1"/>
                <w:kern w:val="0"/>
                <w:szCs w:val="21"/>
                <w:vertAlign w:val="subscript"/>
              </w:rPr>
              <w:t>10</w:t>
            </w:r>
            <w:r>
              <w:rPr>
                <w:rFonts w:ascii="Times New Roman" w:eastAsia="宋体" w:hAnsi="Times New Roman" w:cs="Times New Roman"/>
                <w:color w:val="000000" w:themeColor="text1"/>
                <w:kern w:val="0"/>
                <w:szCs w:val="21"/>
              </w:rPr>
              <w:t>O</w:t>
            </w:r>
            <w:r>
              <w:rPr>
                <w:rFonts w:ascii="Times New Roman" w:eastAsia="宋体" w:hAnsi="Times New Roman" w:cs="Times New Roman"/>
                <w:color w:val="000000" w:themeColor="text1"/>
                <w:kern w:val="0"/>
                <w:szCs w:val="21"/>
                <w:vertAlign w:val="subscript"/>
              </w:rPr>
              <w:t>3</w:t>
            </w:r>
          </w:p>
        </w:tc>
        <w:tc>
          <w:tcPr>
            <w:tcW w:w="1930" w:type="dxa"/>
            <w:tcBorders>
              <w:top w:val="single" w:sz="8" w:space="0" w:color="auto"/>
              <w:left w:val="nil"/>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106.12</w:t>
            </w:r>
          </w:p>
        </w:tc>
      </w:tr>
      <w:tr w:rsidR="00D030B4">
        <w:trPr>
          <w:trHeight w:hRule="exact" w:val="545"/>
          <w:jc w:val="center"/>
        </w:trPr>
        <w:tc>
          <w:tcPr>
            <w:tcW w:w="726" w:type="dxa"/>
            <w:tcBorders>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w:t>
            </w:r>
          </w:p>
        </w:tc>
        <w:tc>
          <w:tcPr>
            <w:tcW w:w="1747" w:type="dxa"/>
            <w:tcBorders>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bCs/>
                <w:color w:val="000000" w:themeColor="text1"/>
                <w:szCs w:val="21"/>
              </w:rPr>
            </w:pPr>
            <w:proofErr w:type="gramStart"/>
            <w:r>
              <w:rPr>
                <w:rFonts w:ascii="Times New Roman" w:eastAsia="宋体" w:hAnsi="Times New Roman" w:cs="Times New Roman"/>
                <w:bCs/>
                <w:color w:val="000000" w:themeColor="text1"/>
                <w:szCs w:val="21"/>
              </w:rPr>
              <w:t>氘代二</w:t>
            </w:r>
            <w:proofErr w:type="gramEnd"/>
            <w:r>
              <w:rPr>
                <w:rFonts w:ascii="Times New Roman" w:eastAsia="宋体" w:hAnsi="Times New Roman" w:cs="Times New Roman"/>
                <w:bCs/>
                <w:color w:val="000000" w:themeColor="text1"/>
                <w:szCs w:val="21"/>
              </w:rPr>
              <w:t>甘醇</w:t>
            </w:r>
            <w:r>
              <w:rPr>
                <w:rFonts w:ascii="Times New Roman" w:eastAsia="宋体" w:hAnsi="Times New Roman" w:cs="Times New Roman"/>
                <w:bCs/>
                <w:color w:val="000000" w:themeColor="text1"/>
                <w:szCs w:val="21"/>
              </w:rPr>
              <w:t>-D</w:t>
            </w:r>
            <w:r>
              <w:rPr>
                <w:rFonts w:ascii="Times New Roman" w:eastAsia="宋体" w:hAnsi="Times New Roman" w:cs="Times New Roman"/>
                <w:bCs/>
                <w:color w:val="000000" w:themeColor="text1"/>
                <w:szCs w:val="21"/>
                <w:vertAlign w:val="subscript"/>
              </w:rPr>
              <w:t>8</w:t>
            </w:r>
          </w:p>
        </w:tc>
        <w:tc>
          <w:tcPr>
            <w:tcW w:w="1643" w:type="dxa"/>
            <w:tcBorders>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102867-56-1</w:t>
            </w:r>
          </w:p>
        </w:tc>
        <w:tc>
          <w:tcPr>
            <w:tcW w:w="1701" w:type="dxa"/>
            <w:tcBorders>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C</w:t>
            </w:r>
            <w:r>
              <w:rPr>
                <w:rFonts w:ascii="Times New Roman" w:eastAsia="宋体" w:hAnsi="Times New Roman" w:cs="Times New Roman"/>
                <w:color w:val="000000" w:themeColor="text1"/>
                <w:kern w:val="0"/>
                <w:szCs w:val="21"/>
                <w:vertAlign w:val="subscript"/>
              </w:rPr>
              <w:t>4</w:t>
            </w:r>
            <w:r>
              <w:rPr>
                <w:rFonts w:ascii="Times New Roman" w:eastAsia="宋体" w:hAnsi="Times New Roman" w:cs="Times New Roman"/>
                <w:color w:val="000000" w:themeColor="text1"/>
                <w:kern w:val="0"/>
                <w:szCs w:val="21"/>
              </w:rPr>
              <w:t>H</w:t>
            </w:r>
            <w:r>
              <w:rPr>
                <w:rFonts w:ascii="Times New Roman" w:eastAsia="宋体" w:hAnsi="Times New Roman" w:cs="Times New Roman"/>
                <w:color w:val="000000" w:themeColor="text1"/>
                <w:kern w:val="0"/>
                <w:szCs w:val="21"/>
                <w:vertAlign w:val="subscript"/>
              </w:rPr>
              <w:t>2</w:t>
            </w:r>
            <w:r>
              <w:rPr>
                <w:rFonts w:ascii="Times New Roman" w:eastAsia="宋体" w:hAnsi="Times New Roman" w:cs="Times New Roman"/>
                <w:color w:val="000000" w:themeColor="text1"/>
                <w:kern w:val="0"/>
                <w:szCs w:val="21"/>
              </w:rPr>
              <w:t>D</w:t>
            </w:r>
            <w:r>
              <w:rPr>
                <w:rFonts w:ascii="Times New Roman" w:eastAsia="宋体" w:hAnsi="Times New Roman" w:cs="Times New Roman"/>
                <w:color w:val="000000" w:themeColor="text1"/>
                <w:kern w:val="0"/>
                <w:szCs w:val="21"/>
                <w:vertAlign w:val="subscript"/>
              </w:rPr>
              <w:t>8</w:t>
            </w:r>
            <w:r>
              <w:rPr>
                <w:rFonts w:ascii="Times New Roman" w:eastAsia="宋体" w:hAnsi="Times New Roman" w:cs="Times New Roman"/>
                <w:color w:val="000000" w:themeColor="text1"/>
                <w:kern w:val="0"/>
                <w:szCs w:val="21"/>
              </w:rPr>
              <w:t>O</w:t>
            </w:r>
            <w:r>
              <w:rPr>
                <w:rFonts w:ascii="Times New Roman" w:eastAsia="宋体" w:hAnsi="Times New Roman" w:cs="Times New Roman"/>
                <w:color w:val="000000" w:themeColor="text1"/>
                <w:kern w:val="0"/>
                <w:szCs w:val="21"/>
                <w:vertAlign w:val="subscript"/>
              </w:rPr>
              <w:t>3</w:t>
            </w:r>
          </w:p>
        </w:tc>
        <w:tc>
          <w:tcPr>
            <w:tcW w:w="1930" w:type="dxa"/>
            <w:tcBorders>
              <w:left w:val="nil"/>
              <w:bottom w:val="single" w:sz="8" w:space="0" w:color="auto"/>
              <w:right w:val="nil"/>
            </w:tcBorders>
            <w:shd w:val="clear" w:color="000000" w:fill="auto"/>
            <w:vAlign w:val="center"/>
          </w:tcPr>
          <w:p w:rsidR="00D030B4" w:rsidRDefault="004248DB">
            <w:pPr>
              <w:widowControl/>
              <w:spacing w:before="50" w:after="50" w:line="300" w:lineRule="auto"/>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114.17</w:t>
            </w:r>
          </w:p>
        </w:tc>
      </w:tr>
    </w:tbl>
    <w:p w:rsidR="00D030B4" w:rsidRDefault="00D030B4">
      <w:pPr>
        <w:snapToGrid w:val="0"/>
        <w:spacing w:beforeLines="50" w:before="156" w:afterLines="50" w:after="156" w:line="300" w:lineRule="auto"/>
        <w:jc w:val="center"/>
        <w:rPr>
          <w:rFonts w:ascii="Times New Roman" w:eastAsia="黑体" w:hAnsi="Times New Roman" w:cs="Times New Roman"/>
          <w:bCs/>
          <w:color w:val="000000" w:themeColor="text1"/>
          <w:szCs w:val="21"/>
        </w:rPr>
      </w:pPr>
    </w:p>
    <w:p w:rsidR="00D030B4" w:rsidRDefault="004248DB">
      <w:pPr>
        <w:spacing w:before="50" w:after="50" w:line="300" w:lineRule="auto"/>
        <w:rPr>
          <w:rFonts w:ascii="Times New Roman" w:eastAsia="宋体" w:hAnsi="Times New Roman" w:cs="Times New Roman"/>
          <w:b/>
          <w:color w:val="000000" w:themeColor="text1"/>
          <w:szCs w:val="21"/>
        </w:rPr>
      </w:pPr>
      <w:r w:rsidRPr="00D2424F">
        <w:rPr>
          <w:rFonts w:ascii="Times New Roman" w:eastAsia="宋体" w:hAnsi="Times New Roman" w:cs="Times New Roman"/>
          <w:noProof/>
          <w:szCs w:val="21"/>
        </w:rPr>
        <w:drawing>
          <wp:inline distT="0" distB="0" distL="0" distR="0" wp14:anchorId="154E7793" wp14:editId="7E4E0456">
            <wp:extent cx="4900295" cy="2324735"/>
            <wp:effectExtent l="0" t="0" r="1460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07078" cy="2328022"/>
                    </a:xfrm>
                    <a:prstGeom prst="rect">
                      <a:avLst/>
                    </a:prstGeom>
                    <a:noFill/>
                  </pic:spPr>
                </pic:pic>
              </a:graphicData>
            </a:graphic>
          </wp:inline>
        </w:drawing>
      </w:r>
    </w:p>
    <w:p w:rsidR="00D030B4" w:rsidRDefault="004248DB">
      <w:pPr>
        <w:pStyle w:val="p0"/>
        <w:spacing w:before="50" w:after="50" w:line="300" w:lineRule="auto"/>
        <w:ind w:firstLine="359"/>
        <w:jc w:val="center"/>
        <w:rPr>
          <w:rFonts w:eastAsia="黑体"/>
        </w:rPr>
      </w:pPr>
      <w:r>
        <w:rPr>
          <w:rFonts w:eastAsia="黑体"/>
        </w:rPr>
        <w:t>图</w:t>
      </w:r>
      <w:r>
        <w:rPr>
          <w:rFonts w:eastAsia="黑体" w:hint="eastAsia"/>
        </w:rPr>
        <w:t>A.1</w:t>
      </w:r>
      <w:r>
        <w:rPr>
          <w:rFonts w:eastAsia="黑体"/>
        </w:rPr>
        <w:t xml:space="preserve"> </w:t>
      </w:r>
      <w:r>
        <w:rPr>
          <w:rFonts w:eastAsia="黑体"/>
        </w:rPr>
        <w:t>二甘醇的质谱图（全扫描模式）</w:t>
      </w:r>
    </w:p>
    <w:p w:rsidR="00D030B4" w:rsidRDefault="004248DB">
      <w:pPr>
        <w:spacing w:before="50" w:after="50" w:line="300" w:lineRule="auto"/>
        <w:rPr>
          <w:rFonts w:ascii="Times New Roman" w:eastAsia="宋体" w:hAnsi="Times New Roman" w:cs="Times New Roman"/>
          <w:b/>
          <w:color w:val="000000" w:themeColor="text1"/>
          <w:szCs w:val="21"/>
        </w:rPr>
      </w:pPr>
      <w:r w:rsidRPr="00D2424F">
        <w:rPr>
          <w:rFonts w:ascii="Times New Roman" w:eastAsia="宋体" w:hAnsi="Times New Roman" w:cs="Times New Roman"/>
          <w:noProof/>
          <w:szCs w:val="21"/>
        </w:rPr>
        <w:drawing>
          <wp:inline distT="0" distB="0" distL="0" distR="0" wp14:anchorId="37DF3E10" wp14:editId="0A5CD038">
            <wp:extent cx="4900295" cy="2324735"/>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05799" cy="2327415"/>
                    </a:xfrm>
                    <a:prstGeom prst="rect">
                      <a:avLst/>
                    </a:prstGeom>
                    <a:noFill/>
                  </pic:spPr>
                </pic:pic>
              </a:graphicData>
            </a:graphic>
          </wp:inline>
        </w:drawing>
      </w:r>
    </w:p>
    <w:p w:rsidR="00D030B4" w:rsidRDefault="004248DB">
      <w:pPr>
        <w:pStyle w:val="p0"/>
        <w:spacing w:before="50" w:after="50" w:line="300" w:lineRule="auto"/>
        <w:ind w:firstLine="359"/>
        <w:jc w:val="center"/>
        <w:rPr>
          <w:rFonts w:eastAsia="黑体"/>
        </w:rPr>
      </w:pPr>
      <w:r>
        <w:rPr>
          <w:rFonts w:eastAsia="黑体"/>
        </w:rPr>
        <w:t>图</w:t>
      </w:r>
      <w:r>
        <w:rPr>
          <w:rFonts w:eastAsia="黑体"/>
        </w:rPr>
        <w:t>A.</w:t>
      </w:r>
      <w:r>
        <w:rPr>
          <w:rFonts w:eastAsia="黑体" w:hint="eastAsia"/>
        </w:rPr>
        <w:t>2</w:t>
      </w:r>
      <w:proofErr w:type="gramStart"/>
      <w:r>
        <w:rPr>
          <w:rFonts w:eastAsia="黑体"/>
        </w:rPr>
        <w:t>氘代二</w:t>
      </w:r>
      <w:proofErr w:type="gramEnd"/>
      <w:r>
        <w:rPr>
          <w:rFonts w:eastAsia="黑体"/>
        </w:rPr>
        <w:t>甘醇</w:t>
      </w:r>
      <w:r>
        <w:rPr>
          <w:rFonts w:eastAsia="黑体"/>
        </w:rPr>
        <w:t>-D</w:t>
      </w:r>
      <w:r>
        <w:rPr>
          <w:rFonts w:eastAsia="黑体"/>
          <w:vertAlign w:val="subscript"/>
        </w:rPr>
        <w:t>8</w:t>
      </w:r>
      <w:r>
        <w:rPr>
          <w:rFonts w:eastAsia="黑体"/>
        </w:rPr>
        <w:t>的质谱图（全扫描模式）</w:t>
      </w:r>
    </w:p>
    <w:p w:rsidR="00D030B4" w:rsidRDefault="00D030B4">
      <w:pPr>
        <w:pStyle w:val="p0"/>
        <w:spacing w:before="50" w:after="50" w:line="300" w:lineRule="auto"/>
        <w:ind w:firstLine="359"/>
        <w:jc w:val="center"/>
        <w:rPr>
          <w:rFonts w:eastAsia="黑体"/>
        </w:rPr>
      </w:pPr>
    </w:p>
    <w:p w:rsidR="00D030B4" w:rsidRDefault="004248DB" w:rsidP="00D2424F">
      <w:pPr>
        <w:spacing w:before="50" w:after="50" w:line="300" w:lineRule="auto"/>
        <w:jc w:val="center"/>
        <w:rPr>
          <w:rFonts w:eastAsia="黑体"/>
        </w:rPr>
      </w:pPr>
      <w:r>
        <w:rPr>
          <w:rFonts w:eastAsia="黑体"/>
        </w:rPr>
        <w:br w:type="page"/>
      </w:r>
    </w:p>
    <w:p w:rsidR="00D030B4" w:rsidRDefault="004248DB">
      <w:pPr>
        <w:spacing w:beforeLines="50" w:before="156" w:afterLines="50" w:after="156" w:line="300" w:lineRule="auto"/>
        <w:jc w:val="center"/>
        <w:rPr>
          <w:rFonts w:ascii="Times New Roman" w:eastAsia="黑体" w:hAnsi="Times New Roman" w:cs="Times New Roman"/>
          <w:color w:val="000000"/>
          <w:sz w:val="32"/>
          <w:szCs w:val="32"/>
        </w:rPr>
      </w:pPr>
      <w:bookmarkStart w:id="0" w:name="_Toc50665326"/>
      <w:bookmarkStart w:id="1" w:name="_Toc50983372"/>
      <w:bookmarkStart w:id="2" w:name="_Toc50983375"/>
      <w:r>
        <w:rPr>
          <w:rFonts w:ascii="Times New Roman" w:eastAsia="黑体" w:hAnsi="Times New Roman" w:cs="Times New Roman"/>
          <w:color w:val="000000"/>
          <w:spacing w:val="2"/>
          <w:sz w:val="32"/>
          <w:szCs w:val="32"/>
        </w:rPr>
        <w:lastRenderedPageBreak/>
        <w:t>化妆品</w:t>
      </w:r>
      <w:r>
        <w:rPr>
          <w:rFonts w:ascii="Times New Roman" w:eastAsia="黑体" w:hAnsi="Times New Roman" w:cs="Times New Roman" w:hint="eastAsia"/>
          <w:color w:val="000000"/>
          <w:spacing w:val="2"/>
          <w:sz w:val="32"/>
          <w:szCs w:val="32"/>
        </w:rPr>
        <w:t>中</w:t>
      </w:r>
      <w:r>
        <w:rPr>
          <w:rFonts w:ascii="Times New Roman" w:eastAsia="黑体" w:hAnsi="Times New Roman" w:cs="Times New Roman" w:hint="eastAsia"/>
          <w:color w:val="000000"/>
          <w:sz w:val="32"/>
          <w:szCs w:val="32"/>
        </w:rPr>
        <w:t>二甘醇</w:t>
      </w:r>
      <w:r>
        <w:rPr>
          <w:rFonts w:ascii="Times New Roman" w:eastAsia="黑体" w:hAnsi="Times New Roman" w:cs="Times New Roman"/>
          <w:color w:val="000000"/>
          <w:sz w:val="32"/>
          <w:szCs w:val="32"/>
        </w:rPr>
        <w:t>的检验方法</w:t>
      </w:r>
      <w:r>
        <w:rPr>
          <w:rFonts w:ascii="Times New Roman" w:eastAsia="黑体" w:hAnsi="Times New Roman" w:cs="Times New Roman" w:hint="eastAsia"/>
          <w:color w:val="000000"/>
          <w:sz w:val="32"/>
          <w:szCs w:val="32"/>
        </w:rPr>
        <w:t>（征求意见稿）</w:t>
      </w:r>
    </w:p>
    <w:p w:rsidR="00D030B4" w:rsidRDefault="004248DB">
      <w:pPr>
        <w:spacing w:beforeLines="50" w:before="156" w:afterLines="50" w:after="156" w:line="300" w:lineRule="auto"/>
        <w:jc w:val="center"/>
        <w:rPr>
          <w:rFonts w:ascii="Times New Roman" w:eastAsia="黑体" w:hAnsi="Times New Roman" w:cs="Times New Roman"/>
          <w:color w:val="000000"/>
          <w:spacing w:val="2"/>
          <w:sz w:val="32"/>
          <w:szCs w:val="32"/>
        </w:rPr>
      </w:pPr>
      <w:r>
        <w:rPr>
          <w:rFonts w:ascii="Times New Roman" w:eastAsia="黑体" w:hAnsi="Times New Roman" w:cs="Times New Roman"/>
          <w:color w:val="000000"/>
          <w:spacing w:val="2"/>
          <w:sz w:val="32"/>
          <w:szCs w:val="32"/>
        </w:rPr>
        <w:t>起草说明</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hint="eastAsia"/>
          <w:spacing w:val="-7"/>
        </w:rPr>
        <w:t>为加强化妆品的监督管理，进一步提高化妆品使用安全性，国家药监局化妆品标准化技术委员会组织开展了化妆品中二甘醇的检验方法的研究制定工作。现就工作有关情况说明如下：</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一、起草原则</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hint="eastAsia"/>
          <w:spacing w:val="-7"/>
        </w:rPr>
        <w:t>本方法的起草本着科学合理、简单易行的原则。采用目前一般检验实验室普遍具备的分析技术，选择适宜、可行、便于实际操作的分析条件，保证检验方法的精确性和重现性。</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二、起草过程</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spacing w:val="-7"/>
        </w:rPr>
        <w:t>对二甘醇现有检验技术进行</w:t>
      </w:r>
      <w:r>
        <w:rPr>
          <w:rFonts w:ascii="Times New Roman" w:hAnsi="Times New Roman" w:cs="Times New Roman" w:hint="eastAsia"/>
          <w:spacing w:val="-7"/>
        </w:rPr>
        <w:t>对比和</w:t>
      </w:r>
      <w:r>
        <w:rPr>
          <w:rFonts w:ascii="Times New Roman" w:hAnsi="Times New Roman" w:cs="Times New Roman"/>
          <w:spacing w:val="-7"/>
        </w:rPr>
        <w:t>研究</w:t>
      </w:r>
      <w:r w:rsidR="00E8027B">
        <w:rPr>
          <w:rFonts w:ascii="Times New Roman" w:hAnsi="Times New Roman" w:cs="Times New Roman" w:hint="eastAsia"/>
          <w:spacing w:val="-7"/>
        </w:rPr>
        <w:t>的基础上，</w:t>
      </w:r>
      <w:r>
        <w:rPr>
          <w:rFonts w:ascii="Times New Roman" w:hAnsi="Times New Roman" w:cs="Times New Roman"/>
          <w:spacing w:val="-7"/>
        </w:rPr>
        <w:t>建立</w:t>
      </w:r>
      <w:r w:rsidR="00E8027B">
        <w:rPr>
          <w:rFonts w:ascii="Times New Roman" w:hAnsi="Times New Roman" w:cs="Times New Roman" w:hint="eastAsia"/>
          <w:spacing w:val="-7"/>
        </w:rPr>
        <w:t>了</w:t>
      </w:r>
      <w:r>
        <w:rPr>
          <w:rFonts w:ascii="Times New Roman" w:hAnsi="Times New Roman" w:cs="Times New Roman"/>
          <w:spacing w:val="-7"/>
        </w:rPr>
        <w:t>化妆品中二甘醇的</w:t>
      </w:r>
      <w:r>
        <w:rPr>
          <w:rFonts w:ascii="Times New Roman" w:hAnsi="Times New Roman" w:cs="Times New Roman" w:hint="eastAsia"/>
          <w:spacing w:val="-7"/>
        </w:rPr>
        <w:t>检验</w:t>
      </w:r>
      <w:r>
        <w:rPr>
          <w:rFonts w:ascii="Times New Roman" w:hAnsi="Times New Roman" w:cs="Times New Roman"/>
          <w:spacing w:val="-7"/>
        </w:rPr>
        <w:t>方法并优化实验条件</w:t>
      </w:r>
      <w:r w:rsidR="00E8027B">
        <w:rPr>
          <w:rFonts w:ascii="Times New Roman" w:hAnsi="Times New Roman" w:cs="Times New Roman" w:hint="eastAsia"/>
          <w:spacing w:val="-7"/>
        </w:rPr>
        <w:t>，</w:t>
      </w:r>
      <w:r>
        <w:rPr>
          <w:rFonts w:ascii="Times New Roman" w:hAnsi="Times New Roman" w:cs="Times New Roman"/>
          <w:spacing w:val="-7"/>
        </w:rPr>
        <w:t>对检验方法进行实验室内和实验室间验证</w:t>
      </w:r>
      <w:r w:rsidR="00E8027B">
        <w:rPr>
          <w:rFonts w:ascii="Times New Roman" w:hAnsi="Times New Roman" w:cs="Times New Roman" w:hint="eastAsia"/>
          <w:spacing w:val="-7"/>
        </w:rPr>
        <w:t>，</w:t>
      </w:r>
      <w:r>
        <w:rPr>
          <w:rFonts w:ascii="Times New Roman" w:hAnsi="Times New Roman" w:cs="Times New Roman"/>
          <w:spacing w:val="-7"/>
        </w:rPr>
        <w:t>征求专家意见，修改完善方法和完成草案稿修改。</w:t>
      </w:r>
      <w:r w:rsidR="00962290">
        <w:rPr>
          <w:rFonts w:ascii="Times New Roman" w:hAnsi="Times New Roman" w:cs="Times New Roman" w:hint="eastAsia"/>
          <w:spacing w:val="-7"/>
        </w:rPr>
        <w:t>2025</w:t>
      </w:r>
      <w:r w:rsidR="00962290" w:rsidRPr="00962290">
        <w:rPr>
          <w:rFonts w:ascii="Times New Roman" w:hAnsi="Times New Roman" w:cs="Times New Roman" w:hint="eastAsia"/>
          <w:spacing w:val="-7"/>
        </w:rPr>
        <w:t>年</w:t>
      </w:r>
      <w:r w:rsidR="00962290">
        <w:rPr>
          <w:rFonts w:ascii="Times New Roman" w:hAnsi="Times New Roman" w:cs="Times New Roman" w:hint="eastAsia"/>
          <w:spacing w:val="-7"/>
        </w:rPr>
        <w:t>3</w:t>
      </w:r>
      <w:r w:rsidR="00962290" w:rsidRPr="00962290">
        <w:rPr>
          <w:rFonts w:ascii="Times New Roman" w:hAnsi="Times New Roman" w:cs="Times New Roman" w:hint="eastAsia"/>
          <w:spacing w:val="-7"/>
        </w:rPr>
        <w:t>月</w:t>
      </w:r>
      <w:r w:rsidR="00962290" w:rsidRPr="00962290">
        <w:rPr>
          <w:rFonts w:ascii="Times New Roman" w:hAnsi="Times New Roman" w:cs="Times New Roman" w:hint="eastAsia"/>
          <w:spacing w:val="-7"/>
        </w:rPr>
        <w:t>12</w:t>
      </w:r>
      <w:r w:rsidR="00962290" w:rsidRPr="00962290">
        <w:rPr>
          <w:rFonts w:ascii="Times New Roman" w:hAnsi="Times New Roman" w:cs="Times New Roman" w:hint="eastAsia"/>
          <w:spacing w:val="-7"/>
        </w:rPr>
        <w:t>日，检验</w:t>
      </w:r>
      <w:proofErr w:type="gramStart"/>
      <w:r w:rsidR="00962290" w:rsidRPr="00962290">
        <w:rPr>
          <w:rFonts w:ascii="Times New Roman" w:hAnsi="Times New Roman" w:cs="Times New Roman" w:hint="eastAsia"/>
          <w:spacing w:val="-7"/>
        </w:rPr>
        <w:t>检测分技</w:t>
      </w:r>
      <w:proofErr w:type="gramEnd"/>
      <w:r w:rsidR="00962290" w:rsidRPr="00962290">
        <w:rPr>
          <w:rFonts w:ascii="Times New Roman" w:hAnsi="Times New Roman" w:cs="Times New Roman" w:hint="eastAsia"/>
          <w:spacing w:val="-7"/>
        </w:rPr>
        <w:t>委召开初审会议，专家评审结论为修改后通过。</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三、与我国已有相关标准的关系</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spacing w:val="-7"/>
        </w:rPr>
        <w:t>二甘醇又称二乙二醇，为无色无臭、透明、吸湿性强的</w:t>
      </w:r>
      <w:proofErr w:type="gramStart"/>
      <w:r>
        <w:rPr>
          <w:rFonts w:ascii="Times New Roman" w:hAnsi="Times New Roman" w:cs="Times New Roman" w:hint="eastAsia"/>
          <w:spacing w:val="-7"/>
        </w:rPr>
        <w:t>黏</w:t>
      </w:r>
      <w:proofErr w:type="gramEnd"/>
      <w:r>
        <w:rPr>
          <w:rFonts w:ascii="Times New Roman" w:hAnsi="Times New Roman" w:cs="Times New Roman" w:hint="eastAsia"/>
          <w:spacing w:val="-7"/>
        </w:rPr>
        <w:t>稠</w:t>
      </w:r>
      <w:r>
        <w:rPr>
          <w:rFonts w:ascii="Times New Roman" w:hAnsi="Times New Roman" w:cs="Times New Roman"/>
          <w:spacing w:val="-7"/>
        </w:rPr>
        <w:t>液体，由于有较好的溶解性和保湿性，在工业上有广泛的用途。二甘醇对动物有毒性，人体对之更敏感，经口摄入可直接危及生命，长期少量接触可致慢性损害。我国牙膏生产企业曾使用二甘醇和甘油的混合体作为牙膏保湿剂。随着研究发现，虽然二甘醇属于低毒类化学物质，但大剂量摄入仍会损害肾脏，美国、日本、加拿大等国先后禁止含二甘醇成分牙膏销售。鉴于二甘醇的潜在毒性，</w:t>
      </w:r>
      <w:r>
        <w:rPr>
          <w:rFonts w:ascii="Times New Roman" w:hAnsi="Times New Roman" w:cs="Times New Roman"/>
          <w:spacing w:val="-7"/>
        </w:rPr>
        <w:t>2007</w:t>
      </w:r>
      <w:r>
        <w:rPr>
          <w:rFonts w:ascii="Times New Roman" w:hAnsi="Times New Roman" w:cs="Times New Roman"/>
          <w:spacing w:val="-7"/>
        </w:rPr>
        <w:t>年</w:t>
      </w:r>
      <w:r>
        <w:rPr>
          <w:rFonts w:ascii="Times New Roman" w:hAnsi="Times New Roman" w:cs="Times New Roman"/>
          <w:spacing w:val="-7"/>
        </w:rPr>
        <w:t>7</w:t>
      </w:r>
      <w:r>
        <w:rPr>
          <w:rFonts w:ascii="Times New Roman" w:hAnsi="Times New Roman" w:cs="Times New Roman"/>
          <w:spacing w:val="-7"/>
        </w:rPr>
        <w:t>月原国家质量监督检验检疫总局宣布全面禁止在牙膏中使用二甘醇。欧盟消费品科学委员会</w:t>
      </w:r>
      <w:r w:rsidR="00BF03F1">
        <w:rPr>
          <w:rFonts w:ascii="Times New Roman" w:hAnsi="Times New Roman" w:cs="Times New Roman" w:hint="eastAsia"/>
          <w:spacing w:val="-7"/>
        </w:rPr>
        <w:t>（</w:t>
      </w:r>
      <w:r w:rsidR="00BF03F1">
        <w:rPr>
          <w:rFonts w:ascii="Times New Roman" w:hAnsi="Times New Roman" w:cs="Times New Roman"/>
          <w:spacing w:val="-7"/>
        </w:rPr>
        <w:t>SCCP</w:t>
      </w:r>
      <w:r w:rsidR="00BF03F1">
        <w:rPr>
          <w:rFonts w:ascii="Times New Roman" w:hAnsi="Times New Roman" w:cs="Times New Roman" w:hint="eastAsia"/>
          <w:spacing w:val="-7"/>
        </w:rPr>
        <w:t>）</w:t>
      </w:r>
      <w:r>
        <w:rPr>
          <w:rFonts w:ascii="Times New Roman" w:hAnsi="Times New Roman" w:cs="Times New Roman"/>
          <w:spacing w:val="-7"/>
        </w:rPr>
        <w:t>在</w:t>
      </w:r>
      <w:r>
        <w:rPr>
          <w:rFonts w:ascii="Times New Roman" w:hAnsi="Times New Roman" w:cs="Times New Roman"/>
          <w:spacing w:val="-7"/>
        </w:rPr>
        <w:t>2008</w:t>
      </w:r>
      <w:r>
        <w:rPr>
          <w:rFonts w:ascii="Times New Roman" w:hAnsi="Times New Roman" w:cs="Times New Roman"/>
          <w:spacing w:val="-7"/>
        </w:rPr>
        <w:t>年</w:t>
      </w:r>
      <w:r>
        <w:rPr>
          <w:rFonts w:ascii="Times New Roman" w:hAnsi="Times New Roman" w:cs="Times New Roman"/>
          <w:spacing w:val="-7"/>
        </w:rPr>
        <w:t>6</w:t>
      </w:r>
      <w:r>
        <w:rPr>
          <w:rFonts w:ascii="Times New Roman" w:hAnsi="Times New Roman" w:cs="Times New Roman"/>
          <w:spacing w:val="-7"/>
        </w:rPr>
        <w:t>月对二甘醇进行了评估，评估报告的结论是二甘醇在化妆品成品中作为甘油和聚乙二醇等的杂质，浓度最大值</w:t>
      </w:r>
      <w:r>
        <w:rPr>
          <w:rFonts w:ascii="Times New Roman" w:hAnsi="Times New Roman" w:cs="Times New Roman"/>
          <w:spacing w:val="-7"/>
        </w:rPr>
        <w:t>0.1%</w:t>
      </w:r>
      <w:r>
        <w:rPr>
          <w:rFonts w:ascii="Times New Roman" w:hAnsi="Times New Roman" w:cs="Times New Roman"/>
          <w:spacing w:val="-7"/>
        </w:rPr>
        <w:t>可以被认为是安全的。欧盟委员会发布的条例</w:t>
      </w:r>
      <w:r>
        <w:rPr>
          <w:rFonts w:ascii="Times New Roman" w:hAnsi="Times New Roman" w:cs="Times New Roman"/>
          <w:spacing w:val="-7"/>
        </w:rPr>
        <w:t>Commission Regulation (EU) No.344/2013</w:t>
      </w:r>
      <w:r>
        <w:rPr>
          <w:rFonts w:ascii="Times New Roman" w:hAnsi="Times New Roman" w:cs="Times New Roman"/>
          <w:spacing w:val="-7"/>
        </w:rPr>
        <w:t>中，二甘醇被收录在禁用物质清单，同时可以作为微量成分出现于化妆品中，限量为</w:t>
      </w:r>
      <w:r>
        <w:rPr>
          <w:rFonts w:ascii="Times New Roman" w:hAnsi="Times New Roman" w:cs="Times New Roman"/>
          <w:spacing w:val="-7"/>
        </w:rPr>
        <w:t>0.1%</w:t>
      </w:r>
      <w:r>
        <w:rPr>
          <w:rFonts w:ascii="Times New Roman" w:hAnsi="Times New Roman" w:cs="Times New Roman"/>
          <w:spacing w:val="-7"/>
        </w:rPr>
        <w:t>。我国</w:t>
      </w:r>
      <w:r>
        <w:rPr>
          <w:rFonts w:ascii="Times New Roman" w:hAnsi="Times New Roman" w:cs="Times New Roman"/>
          <w:spacing w:val="-7"/>
        </w:rPr>
        <w:t>GB 22115-2008</w:t>
      </w:r>
      <w:r>
        <w:rPr>
          <w:rFonts w:ascii="Times New Roman" w:hAnsi="Times New Roman" w:cs="Times New Roman"/>
          <w:spacing w:val="-7"/>
        </w:rPr>
        <w:t>《牙膏用原料规范》规定禁止二甘醇作为牙膏原料，随原料带入的乙二醇和二甘醇之和应为</w:t>
      </w:r>
      <w:r>
        <w:rPr>
          <w:rFonts w:ascii="Times New Roman" w:hAnsi="Times New Roman" w:cs="Times New Roman"/>
          <w:spacing w:val="-7"/>
        </w:rPr>
        <w:t>≤0.1%</w:t>
      </w:r>
      <w:r>
        <w:rPr>
          <w:rFonts w:ascii="Times New Roman" w:hAnsi="Times New Roman" w:cs="Times New Roman"/>
          <w:spacing w:val="-7"/>
        </w:rPr>
        <w:t>。《化妆品安全技术规范》</w:t>
      </w:r>
      <w:r>
        <w:rPr>
          <w:rFonts w:ascii="Times New Roman" w:hAnsi="Times New Roman" w:cs="Times New Roman"/>
          <w:spacing w:val="-7"/>
        </w:rPr>
        <w:t>(2015</w:t>
      </w:r>
      <w:r>
        <w:rPr>
          <w:rFonts w:ascii="Times New Roman" w:hAnsi="Times New Roman" w:cs="Times New Roman"/>
          <w:spacing w:val="-7"/>
        </w:rPr>
        <w:t>年版</w:t>
      </w:r>
      <w:r>
        <w:rPr>
          <w:rFonts w:ascii="Times New Roman" w:hAnsi="Times New Roman" w:cs="Times New Roman"/>
          <w:spacing w:val="-7"/>
        </w:rPr>
        <w:t>)</w:t>
      </w:r>
      <w:r>
        <w:rPr>
          <w:rFonts w:ascii="Times New Roman" w:hAnsi="Times New Roman" w:cs="Times New Roman"/>
          <w:spacing w:val="-7"/>
        </w:rPr>
        <w:t>将二甘醇列为禁用物质。目前，我国已有的标准检验方法有：</w:t>
      </w:r>
      <w:r>
        <w:rPr>
          <w:rFonts w:ascii="Times New Roman" w:hAnsi="Times New Roman" w:cs="Times New Roman"/>
          <w:spacing w:val="-7"/>
        </w:rPr>
        <w:t>GB/T 21842</w:t>
      </w:r>
      <w:r w:rsidR="00BF03F1">
        <w:rPr>
          <w:rFonts w:cs="Times New Roman" w:hint="eastAsia"/>
          <w:spacing w:val="-7"/>
        </w:rPr>
        <w:t>-</w:t>
      </w:r>
      <w:r>
        <w:rPr>
          <w:rFonts w:ascii="Times New Roman" w:hAnsi="Times New Roman" w:cs="Times New Roman"/>
          <w:spacing w:val="-7"/>
        </w:rPr>
        <w:t>2008</w:t>
      </w:r>
      <w:r>
        <w:rPr>
          <w:rFonts w:ascii="Times New Roman" w:hAnsi="Times New Roman" w:cs="Times New Roman"/>
          <w:spacing w:val="-7"/>
        </w:rPr>
        <w:t>《牙膏中二甘醇的测定》，</w:t>
      </w:r>
      <w:r>
        <w:rPr>
          <w:rFonts w:ascii="Times New Roman" w:hAnsi="Times New Roman" w:cs="Times New Roman"/>
          <w:spacing w:val="-7"/>
        </w:rPr>
        <w:t>GB/T 32115</w:t>
      </w:r>
      <w:r w:rsidR="00BF03F1">
        <w:rPr>
          <w:rFonts w:cs="Times New Roman" w:hint="eastAsia"/>
          <w:spacing w:val="-7"/>
        </w:rPr>
        <w:t>-</w:t>
      </w:r>
      <w:r>
        <w:rPr>
          <w:rFonts w:ascii="Times New Roman" w:hAnsi="Times New Roman" w:cs="Times New Roman"/>
          <w:spacing w:val="-7"/>
        </w:rPr>
        <w:t>2015</w:t>
      </w:r>
      <w:r>
        <w:rPr>
          <w:rFonts w:ascii="Times New Roman" w:hAnsi="Times New Roman" w:cs="Times New Roman"/>
          <w:spacing w:val="-7"/>
        </w:rPr>
        <w:t>《口腔护理产品中乙二醇与二甘醇的测定方法》、</w:t>
      </w:r>
      <w:r>
        <w:rPr>
          <w:rFonts w:ascii="Times New Roman" w:hAnsi="Times New Roman" w:cs="Times New Roman"/>
          <w:spacing w:val="-7"/>
        </w:rPr>
        <w:t>QB/T 5411</w:t>
      </w:r>
      <w:r w:rsidR="00BF03F1">
        <w:rPr>
          <w:rFonts w:cs="Times New Roman" w:hint="eastAsia"/>
          <w:spacing w:val="-7"/>
        </w:rPr>
        <w:t>-</w:t>
      </w:r>
      <w:r>
        <w:rPr>
          <w:rFonts w:ascii="Times New Roman" w:hAnsi="Times New Roman" w:cs="Times New Roman"/>
          <w:spacing w:val="-7"/>
        </w:rPr>
        <w:t xml:space="preserve">2019 </w:t>
      </w:r>
      <w:r>
        <w:rPr>
          <w:rFonts w:ascii="Times New Roman" w:hAnsi="Times New Roman" w:cs="Times New Roman"/>
          <w:spacing w:val="-7"/>
        </w:rPr>
        <w:t>《化妆品中禁用物质二甘醇的测定</w:t>
      </w:r>
      <w:r>
        <w:rPr>
          <w:rFonts w:ascii="Times New Roman" w:hAnsi="Times New Roman" w:cs="Times New Roman"/>
          <w:spacing w:val="-7"/>
        </w:rPr>
        <w:t xml:space="preserve"> </w:t>
      </w:r>
      <w:r>
        <w:rPr>
          <w:rFonts w:ascii="Times New Roman" w:hAnsi="Times New Roman" w:cs="Times New Roman"/>
          <w:spacing w:val="-7"/>
        </w:rPr>
        <w:t>气相色谱法》、</w:t>
      </w:r>
      <w:r>
        <w:rPr>
          <w:rFonts w:ascii="Times New Roman" w:hAnsi="Times New Roman" w:cs="Times New Roman"/>
          <w:spacing w:val="-7"/>
        </w:rPr>
        <w:t>SN/T 4505</w:t>
      </w:r>
      <w:r w:rsidR="00BF03F1">
        <w:rPr>
          <w:rFonts w:cs="Times New Roman" w:hint="eastAsia"/>
          <w:spacing w:val="-7"/>
        </w:rPr>
        <w:t>-</w:t>
      </w:r>
      <w:r>
        <w:rPr>
          <w:rFonts w:ascii="Times New Roman" w:hAnsi="Times New Roman" w:cs="Times New Roman"/>
          <w:spacing w:val="-7"/>
        </w:rPr>
        <w:t xml:space="preserve">2016 </w:t>
      </w:r>
      <w:r>
        <w:rPr>
          <w:rFonts w:ascii="Times New Roman" w:hAnsi="Times New Roman" w:cs="Times New Roman"/>
          <w:spacing w:val="-7"/>
        </w:rPr>
        <w:t>《化妆品中二甘醇残留量的测定</w:t>
      </w:r>
      <w:r>
        <w:rPr>
          <w:rFonts w:ascii="Times New Roman" w:hAnsi="Times New Roman" w:cs="Times New Roman"/>
          <w:spacing w:val="-7"/>
        </w:rPr>
        <w:t xml:space="preserve"> </w:t>
      </w:r>
      <w:r>
        <w:rPr>
          <w:rFonts w:ascii="Times New Roman" w:hAnsi="Times New Roman" w:cs="Times New Roman"/>
          <w:spacing w:val="-7"/>
        </w:rPr>
        <w:t>气质联用法》。上述检验方法采用气相色谱法或气相色谱</w:t>
      </w:r>
      <w:r w:rsidR="00BF03F1">
        <w:rPr>
          <w:rFonts w:ascii="Times New Roman" w:hAnsi="Times New Roman" w:cs="Times New Roman" w:hint="eastAsia"/>
          <w:spacing w:val="-7"/>
        </w:rPr>
        <w:t>—</w:t>
      </w:r>
      <w:r>
        <w:rPr>
          <w:rFonts w:ascii="Times New Roman" w:hAnsi="Times New Roman" w:cs="Times New Roman"/>
          <w:spacing w:val="-7"/>
        </w:rPr>
        <w:t>质谱法测定，均未采用同位素内标法作为定量方法。</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四、与《规范》中原方法的对比情况</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spacing w:val="-7"/>
        </w:rPr>
        <w:t>现有《规范》中并未收录关于</w:t>
      </w:r>
      <w:r>
        <w:rPr>
          <w:rFonts w:ascii="Times New Roman" w:hAnsi="Times New Roman" w:cs="Times New Roman" w:hint="eastAsia"/>
          <w:spacing w:val="-7"/>
        </w:rPr>
        <w:t>化妆品中</w:t>
      </w:r>
      <w:r>
        <w:rPr>
          <w:rFonts w:ascii="Times New Roman" w:hAnsi="Times New Roman" w:cs="Times New Roman"/>
          <w:spacing w:val="-7"/>
        </w:rPr>
        <w:t>二甘醇的</w:t>
      </w:r>
      <w:r>
        <w:rPr>
          <w:rFonts w:ascii="Times New Roman" w:hAnsi="Times New Roman" w:cs="Times New Roman" w:hint="eastAsia"/>
          <w:spacing w:val="-7"/>
        </w:rPr>
        <w:t>检验</w:t>
      </w:r>
      <w:r>
        <w:rPr>
          <w:rFonts w:ascii="Times New Roman" w:hAnsi="Times New Roman" w:cs="Times New Roman"/>
          <w:spacing w:val="-7"/>
        </w:rPr>
        <w:t>方法</w:t>
      </w:r>
      <w:r>
        <w:rPr>
          <w:rFonts w:ascii="Times New Roman" w:hAnsi="Times New Roman" w:cs="Times New Roman" w:hint="eastAsia"/>
          <w:spacing w:val="-7"/>
        </w:rPr>
        <w:t>，仅收录了化妆品原料中二甘醇含量的检验方法，采用的是气相色谱法测定</w:t>
      </w:r>
      <w:r>
        <w:rPr>
          <w:rFonts w:ascii="Times New Roman" w:hAnsi="Times New Roman" w:cs="Times New Roman"/>
          <w:spacing w:val="-7"/>
        </w:rPr>
        <w:t>。</w:t>
      </w:r>
      <w:bookmarkStart w:id="3" w:name="_GoBack"/>
      <w:bookmarkEnd w:id="3"/>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lastRenderedPageBreak/>
        <w:t>五、国际相关标准情况</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spacing w:val="-7"/>
        </w:rPr>
        <w:t>国际上现在暂无关于化妆品中二甘醇的</w:t>
      </w:r>
      <w:r>
        <w:rPr>
          <w:rFonts w:ascii="Times New Roman" w:hAnsi="Times New Roman" w:cs="Times New Roman" w:hint="eastAsia"/>
          <w:spacing w:val="-7"/>
        </w:rPr>
        <w:t>标准</w:t>
      </w:r>
      <w:r>
        <w:rPr>
          <w:rFonts w:ascii="Times New Roman" w:hAnsi="Times New Roman" w:cs="Times New Roman"/>
          <w:spacing w:val="-7"/>
        </w:rPr>
        <w:t>方法。</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六、实验室验证情况</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hint="eastAsia"/>
          <w:spacing w:val="-7"/>
        </w:rPr>
        <w:t>首先在实验室内部，通过系统地考察和优化，确定了气相色谱法</w:t>
      </w:r>
      <w:r>
        <w:rPr>
          <w:rFonts w:ascii="Times New Roman" w:hAnsi="Times New Roman" w:cs="Times New Roman"/>
          <w:spacing w:val="-7"/>
        </w:rPr>
        <w:t>-</w:t>
      </w:r>
      <w:r>
        <w:rPr>
          <w:rFonts w:ascii="Times New Roman" w:hAnsi="Times New Roman" w:cs="Times New Roman" w:hint="eastAsia"/>
          <w:spacing w:val="-7"/>
        </w:rPr>
        <w:t>质谱联用法测定多种基质类型化妆品中二甘醇的前处理条件、气相色谱条件和</w:t>
      </w:r>
      <w:proofErr w:type="gramStart"/>
      <w:r>
        <w:rPr>
          <w:rFonts w:ascii="Times New Roman" w:hAnsi="Times New Roman" w:cs="Times New Roman" w:hint="eastAsia"/>
          <w:spacing w:val="-7"/>
        </w:rPr>
        <w:t>质谱条件</w:t>
      </w:r>
      <w:proofErr w:type="gramEnd"/>
      <w:r>
        <w:rPr>
          <w:rFonts w:ascii="Times New Roman" w:hAnsi="Times New Roman" w:cs="Times New Roman" w:hint="eastAsia"/>
          <w:spacing w:val="-7"/>
        </w:rPr>
        <w:t>，并进行了实验室内部的方法学考察。此后邀请</w:t>
      </w:r>
      <w:r>
        <w:rPr>
          <w:rFonts w:ascii="Times New Roman" w:hAnsi="Times New Roman" w:cs="Times New Roman" w:hint="eastAsia"/>
          <w:spacing w:val="-7"/>
        </w:rPr>
        <w:t>3</w:t>
      </w:r>
      <w:r>
        <w:rPr>
          <w:rFonts w:ascii="Times New Roman" w:hAnsi="Times New Roman" w:cs="Times New Roman" w:hint="eastAsia"/>
          <w:spacing w:val="-7"/>
        </w:rPr>
        <w:t>家省级以上药品检验机构对方法进行了验证，形成了验证报告。方法学验证依据为《化妆品中禁用物质和限用物质检测方法验证技术规范》（国</w:t>
      </w:r>
      <w:proofErr w:type="gramStart"/>
      <w:r>
        <w:rPr>
          <w:rFonts w:ascii="Times New Roman" w:hAnsi="Times New Roman" w:cs="Times New Roman" w:hint="eastAsia"/>
          <w:spacing w:val="-7"/>
        </w:rPr>
        <w:t>食药监许〔</w:t>
      </w:r>
      <w:r>
        <w:rPr>
          <w:rFonts w:ascii="Times New Roman" w:hAnsi="Times New Roman" w:cs="Times New Roman" w:hint="eastAsia"/>
          <w:spacing w:val="-7"/>
        </w:rPr>
        <w:t>2010</w:t>
      </w:r>
      <w:r>
        <w:rPr>
          <w:rFonts w:ascii="Times New Roman" w:hAnsi="Times New Roman" w:cs="Times New Roman" w:hint="eastAsia"/>
          <w:spacing w:val="-7"/>
        </w:rPr>
        <w:t>〕</w:t>
      </w:r>
      <w:proofErr w:type="gramEnd"/>
      <w:r>
        <w:rPr>
          <w:rFonts w:ascii="Times New Roman" w:hAnsi="Times New Roman" w:cs="Times New Roman" w:hint="eastAsia"/>
          <w:spacing w:val="-7"/>
        </w:rPr>
        <w:t>455</w:t>
      </w:r>
      <w:r>
        <w:rPr>
          <w:rFonts w:ascii="Times New Roman" w:hAnsi="Times New Roman" w:cs="Times New Roman" w:hint="eastAsia"/>
          <w:spacing w:val="-7"/>
          <w:lang w:val="en-US"/>
        </w:rPr>
        <w:t>号</w:t>
      </w:r>
      <w:r>
        <w:rPr>
          <w:rFonts w:ascii="Times New Roman" w:hAnsi="Times New Roman" w:cs="Times New Roman" w:hint="eastAsia"/>
          <w:spacing w:val="-7"/>
        </w:rPr>
        <w:t>），验证参数包括线性及线性范围、检出限和定量下限、检出浓度和最低定量浓度、日内精密度和日间精密度、回收率、日内稳定性和日间稳定性、阳性样品检测等，验证基质包括水剂类、油基类、凝胶类、膏霜乳液类、粉类、</w:t>
      </w:r>
      <w:proofErr w:type="gramStart"/>
      <w:r>
        <w:rPr>
          <w:rFonts w:ascii="Times New Roman" w:hAnsi="Times New Roman" w:cs="Times New Roman" w:hint="eastAsia"/>
          <w:spacing w:val="-7"/>
        </w:rPr>
        <w:t>蜡基类</w:t>
      </w:r>
      <w:proofErr w:type="gramEnd"/>
      <w:r>
        <w:rPr>
          <w:rFonts w:ascii="Times New Roman" w:hAnsi="Times New Roman" w:cs="Times New Roman" w:hint="eastAsia"/>
          <w:spacing w:val="-7"/>
        </w:rPr>
        <w:t>等</w:t>
      </w:r>
      <w:r>
        <w:rPr>
          <w:rFonts w:ascii="Times New Roman" w:hAnsi="Times New Roman" w:cs="Times New Roman" w:hint="eastAsia"/>
          <w:spacing w:val="-7"/>
        </w:rPr>
        <w:t>6</w:t>
      </w:r>
      <w:r>
        <w:rPr>
          <w:rFonts w:ascii="Times New Roman" w:hAnsi="Times New Roman" w:cs="Times New Roman" w:hint="eastAsia"/>
          <w:spacing w:val="-7"/>
        </w:rPr>
        <w:t>类化妆品基质。经本实验室内部和</w:t>
      </w:r>
      <w:r>
        <w:rPr>
          <w:rFonts w:ascii="Times New Roman" w:hAnsi="Times New Roman" w:cs="Times New Roman" w:hint="eastAsia"/>
          <w:spacing w:val="-7"/>
        </w:rPr>
        <w:t>3</w:t>
      </w:r>
      <w:r>
        <w:rPr>
          <w:rFonts w:ascii="Times New Roman" w:hAnsi="Times New Roman" w:cs="Times New Roman" w:hint="eastAsia"/>
          <w:spacing w:val="-7"/>
        </w:rPr>
        <w:t>家外部实验室验证，结果满足检验要求。</w:t>
      </w:r>
    </w:p>
    <w:p w:rsidR="00D030B4" w:rsidRDefault="004248DB">
      <w:pPr>
        <w:pStyle w:val="1"/>
        <w:spacing w:beforeLines="50" w:before="156" w:afterLines="50" w:after="156" w:line="300" w:lineRule="auto"/>
        <w:rPr>
          <w:rFonts w:ascii="黑体" w:hAnsi="黑体"/>
          <w:sz w:val="21"/>
          <w:szCs w:val="21"/>
        </w:rPr>
      </w:pPr>
      <w:r>
        <w:rPr>
          <w:rFonts w:ascii="黑体" w:hAnsi="黑体"/>
          <w:sz w:val="21"/>
          <w:szCs w:val="21"/>
        </w:rPr>
        <w:t>七、其他需说明的问题</w:t>
      </w:r>
    </w:p>
    <w:p w:rsidR="00D030B4" w:rsidRDefault="004248DB">
      <w:pPr>
        <w:pStyle w:val="a4"/>
        <w:spacing w:beforeLines="0" w:afterLines="0"/>
        <w:ind w:firstLineChars="200" w:firstLine="392"/>
        <w:rPr>
          <w:rFonts w:ascii="Times New Roman" w:hAnsi="Times New Roman" w:cs="Times New Roman"/>
          <w:spacing w:val="-7"/>
        </w:rPr>
      </w:pPr>
      <w:r>
        <w:rPr>
          <w:rFonts w:ascii="Times New Roman" w:hAnsi="Times New Roman" w:cs="Times New Roman" w:hint="eastAsia"/>
          <w:spacing w:val="-7"/>
        </w:rPr>
        <w:t>本方法的体例主要参照《化妆品安全技术规范》（</w:t>
      </w:r>
      <w:r>
        <w:rPr>
          <w:rFonts w:ascii="Times New Roman" w:hAnsi="Times New Roman" w:cs="Times New Roman" w:hint="eastAsia"/>
          <w:spacing w:val="-7"/>
        </w:rPr>
        <w:t>2015</w:t>
      </w:r>
      <w:r>
        <w:rPr>
          <w:rFonts w:ascii="Times New Roman" w:hAnsi="Times New Roman" w:cs="Times New Roman" w:hint="eastAsia"/>
          <w:spacing w:val="-7"/>
        </w:rPr>
        <w:t>年版）的理化检验方法的体例，以规范和统一书写，方便化妆品检验领域相关检验人员的阅读和使用。</w:t>
      </w:r>
    </w:p>
    <w:bookmarkEnd w:id="0"/>
    <w:bookmarkEnd w:id="1"/>
    <w:bookmarkEnd w:id="2"/>
    <w:p w:rsidR="00D030B4" w:rsidRDefault="00D030B4">
      <w:pPr>
        <w:pStyle w:val="a4"/>
        <w:spacing w:beforeLines="0" w:afterLines="0"/>
        <w:ind w:firstLineChars="200" w:firstLine="392"/>
        <w:rPr>
          <w:rFonts w:ascii="Times New Roman" w:hAnsi="Times New Roman" w:cs="Times New Roman"/>
          <w:spacing w:val="-7"/>
        </w:rPr>
      </w:pPr>
    </w:p>
    <w:p w:rsidR="00D030B4" w:rsidRDefault="00D030B4">
      <w:pPr>
        <w:pStyle w:val="p0"/>
        <w:spacing w:before="50" w:after="50" w:line="300" w:lineRule="auto"/>
        <w:ind w:firstLine="359"/>
        <w:jc w:val="center"/>
        <w:rPr>
          <w:rFonts w:eastAsia="黑体"/>
        </w:rPr>
      </w:pPr>
    </w:p>
    <w:sectPr w:rsidR="00D030B4">
      <w:headerReference w:type="even" r:id="rId11"/>
      <w:headerReference w:type="default" r:id="rId12"/>
      <w:pgSz w:w="11906" w:h="16838"/>
      <w:pgMar w:top="1440" w:right="1803" w:bottom="1440" w:left="1803"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F4BC74" w15:done="0"/>
  <w15:commentEx w15:paraId="34B1E9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C0" w:rsidRDefault="00422AC0">
      <w:r>
        <w:separator/>
      </w:r>
    </w:p>
  </w:endnote>
  <w:endnote w:type="continuationSeparator" w:id="0">
    <w:p w:rsidR="00422AC0" w:rsidRDefault="0042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C0" w:rsidRDefault="00422AC0">
      <w:r>
        <w:separator/>
      </w:r>
    </w:p>
  </w:footnote>
  <w:footnote w:type="continuationSeparator" w:id="0">
    <w:p w:rsidR="00422AC0" w:rsidRDefault="0042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B4" w:rsidRDefault="00D030B4">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B4" w:rsidRDefault="00D030B4">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智明">
    <w15:presenceInfo w15:providerId="WPS Office" w15:userId="3689376433"/>
  </w15:person>
  <w15:person w15:author="WPS_1174730152">
    <w15:presenceInfo w15:providerId="WPS Office" w15:userId="3864431528"/>
  </w15:person>
  <w15:person w15:author="李莉">
    <w15:presenceInfo w15:providerId="None" w15:userId="李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ZiMTc2MjZkNTJiMTkyMTUzOGFmZmI5MjIxODIifQ=="/>
  </w:docVars>
  <w:rsids>
    <w:rsidRoot w:val="004E123E"/>
    <w:rsid w:val="00005E7A"/>
    <w:rsid w:val="000211F8"/>
    <w:rsid w:val="0002595A"/>
    <w:rsid w:val="000442CF"/>
    <w:rsid w:val="000A69FD"/>
    <w:rsid w:val="000B0139"/>
    <w:rsid w:val="000B2225"/>
    <w:rsid w:val="000B2772"/>
    <w:rsid w:val="000C722E"/>
    <w:rsid w:val="000E2867"/>
    <w:rsid w:val="001909E3"/>
    <w:rsid w:val="001A2030"/>
    <w:rsid w:val="001D1315"/>
    <w:rsid w:val="001F7C6E"/>
    <w:rsid w:val="002054DC"/>
    <w:rsid w:val="002101CE"/>
    <w:rsid w:val="002464FD"/>
    <w:rsid w:val="00280C84"/>
    <w:rsid w:val="002A315B"/>
    <w:rsid w:val="002B2056"/>
    <w:rsid w:val="002C3EF8"/>
    <w:rsid w:val="002D3D48"/>
    <w:rsid w:val="002D6E32"/>
    <w:rsid w:val="002E0665"/>
    <w:rsid w:val="002E2865"/>
    <w:rsid w:val="002E324E"/>
    <w:rsid w:val="002F56B4"/>
    <w:rsid w:val="00324599"/>
    <w:rsid w:val="003253F0"/>
    <w:rsid w:val="00325AC4"/>
    <w:rsid w:val="00326E1A"/>
    <w:rsid w:val="0033104E"/>
    <w:rsid w:val="00334559"/>
    <w:rsid w:val="003416BB"/>
    <w:rsid w:val="003451E1"/>
    <w:rsid w:val="00355511"/>
    <w:rsid w:val="003A4035"/>
    <w:rsid w:val="003A5F04"/>
    <w:rsid w:val="003E3E9B"/>
    <w:rsid w:val="003E45C1"/>
    <w:rsid w:val="003F03AF"/>
    <w:rsid w:val="004012A7"/>
    <w:rsid w:val="00403F80"/>
    <w:rsid w:val="0041279A"/>
    <w:rsid w:val="00422AC0"/>
    <w:rsid w:val="004248DB"/>
    <w:rsid w:val="004579D9"/>
    <w:rsid w:val="004806EE"/>
    <w:rsid w:val="0048298B"/>
    <w:rsid w:val="004A3104"/>
    <w:rsid w:val="004B0F66"/>
    <w:rsid w:val="004E1146"/>
    <w:rsid w:val="004E123E"/>
    <w:rsid w:val="004E57E3"/>
    <w:rsid w:val="00510B0F"/>
    <w:rsid w:val="005301B2"/>
    <w:rsid w:val="00553AFB"/>
    <w:rsid w:val="00566660"/>
    <w:rsid w:val="005B62D5"/>
    <w:rsid w:val="005B6365"/>
    <w:rsid w:val="005C31C1"/>
    <w:rsid w:val="005D6EB9"/>
    <w:rsid w:val="005E638C"/>
    <w:rsid w:val="0061571A"/>
    <w:rsid w:val="00622BE7"/>
    <w:rsid w:val="00637978"/>
    <w:rsid w:val="0066062B"/>
    <w:rsid w:val="006619B3"/>
    <w:rsid w:val="00665DD7"/>
    <w:rsid w:val="006756DC"/>
    <w:rsid w:val="00675B7F"/>
    <w:rsid w:val="0068004A"/>
    <w:rsid w:val="006B44C1"/>
    <w:rsid w:val="006B5F09"/>
    <w:rsid w:val="006B7485"/>
    <w:rsid w:val="006D714D"/>
    <w:rsid w:val="006F1934"/>
    <w:rsid w:val="006F25D7"/>
    <w:rsid w:val="0071249A"/>
    <w:rsid w:val="00712E9B"/>
    <w:rsid w:val="0074456F"/>
    <w:rsid w:val="007556CC"/>
    <w:rsid w:val="00762967"/>
    <w:rsid w:val="00772CEC"/>
    <w:rsid w:val="00780EF7"/>
    <w:rsid w:val="007B1F56"/>
    <w:rsid w:val="007B2091"/>
    <w:rsid w:val="007C26C6"/>
    <w:rsid w:val="00837945"/>
    <w:rsid w:val="00847625"/>
    <w:rsid w:val="00884AEA"/>
    <w:rsid w:val="00890D05"/>
    <w:rsid w:val="00893D4D"/>
    <w:rsid w:val="008B135E"/>
    <w:rsid w:val="008B58BD"/>
    <w:rsid w:val="008D6DE6"/>
    <w:rsid w:val="008E5141"/>
    <w:rsid w:val="008E7FAD"/>
    <w:rsid w:val="00912714"/>
    <w:rsid w:val="00915ED0"/>
    <w:rsid w:val="00921788"/>
    <w:rsid w:val="009311E2"/>
    <w:rsid w:val="00941D50"/>
    <w:rsid w:val="009518A9"/>
    <w:rsid w:val="009522A2"/>
    <w:rsid w:val="00962290"/>
    <w:rsid w:val="009A5F53"/>
    <w:rsid w:val="009D197E"/>
    <w:rsid w:val="009D5B11"/>
    <w:rsid w:val="00A02CBC"/>
    <w:rsid w:val="00A16DB5"/>
    <w:rsid w:val="00A17E5C"/>
    <w:rsid w:val="00A83F8A"/>
    <w:rsid w:val="00AA1709"/>
    <w:rsid w:val="00AB0B87"/>
    <w:rsid w:val="00AD302F"/>
    <w:rsid w:val="00AE3F66"/>
    <w:rsid w:val="00AE646E"/>
    <w:rsid w:val="00B06F90"/>
    <w:rsid w:val="00B34ABA"/>
    <w:rsid w:val="00B458BE"/>
    <w:rsid w:val="00B85F2C"/>
    <w:rsid w:val="00BB5314"/>
    <w:rsid w:val="00BB7401"/>
    <w:rsid w:val="00BD67E1"/>
    <w:rsid w:val="00BE3574"/>
    <w:rsid w:val="00BF03F1"/>
    <w:rsid w:val="00C07A29"/>
    <w:rsid w:val="00C27D70"/>
    <w:rsid w:val="00C34722"/>
    <w:rsid w:val="00C80E71"/>
    <w:rsid w:val="00C96FC3"/>
    <w:rsid w:val="00CB5349"/>
    <w:rsid w:val="00CB60F9"/>
    <w:rsid w:val="00CC159C"/>
    <w:rsid w:val="00CE2978"/>
    <w:rsid w:val="00CE37E8"/>
    <w:rsid w:val="00CE7319"/>
    <w:rsid w:val="00D030B4"/>
    <w:rsid w:val="00D0348B"/>
    <w:rsid w:val="00D041FF"/>
    <w:rsid w:val="00D23064"/>
    <w:rsid w:val="00D2424F"/>
    <w:rsid w:val="00D36B99"/>
    <w:rsid w:val="00D439E2"/>
    <w:rsid w:val="00D442F4"/>
    <w:rsid w:val="00D44680"/>
    <w:rsid w:val="00D620CD"/>
    <w:rsid w:val="00D72136"/>
    <w:rsid w:val="00D72882"/>
    <w:rsid w:val="00D73FAB"/>
    <w:rsid w:val="00D750E9"/>
    <w:rsid w:val="00D805C2"/>
    <w:rsid w:val="00D817B9"/>
    <w:rsid w:val="00DA4824"/>
    <w:rsid w:val="00DA4CCD"/>
    <w:rsid w:val="00DC01E4"/>
    <w:rsid w:val="00DD1DB9"/>
    <w:rsid w:val="00DE32AE"/>
    <w:rsid w:val="00DE4A7F"/>
    <w:rsid w:val="00E7050A"/>
    <w:rsid w:val="00E77ECA"/>
    <w:rsid w:val="00E8027B"/>
    <w:rsid w:val="00EA5B16"/>
    <w:rsid w:val="00EC2FC6"/>
    <w:rsid w:val="00EE6A98"/>
    <w:rsid w:val="00EF0EBB"/>
    <w:rsid w:val="00F25C55"/>
    <w:rsid w:val="00F31C4F"/>
    <w:rsid w:val="00F327DD"/>
    <w:rsid w:val="00F5332E"/>
    <w:rsid w:val="00FA041B"/>
    <w:rsid w:val="00FB14CA"/>
    <w:rsid w:val="00FC6FFC"/>
    <w:rsid w:val="00FD2E16"/>
    <w:rsid w:val="00FE7613"/>
    <w:rsid w:val="00FF0D94"/>
    <w:rsid w:val="05AA6673"/>
    <w:rsid w:val="14892F40"/>
    <w:rsid w:val="14AD20B0"/>
    <w:rsid w:val="16817275"/>
    <w:rsid w:val="3B1C011F"/>
    <w:rsid w:val="3E53424C"/>
    <w:rsid w:val="43DF2777"/>
    <w:rsid w:val="4801633C"/>
    <w:rsid w:val="4E00147F"/>
    <w:rsid w:val="5516581E"/>
    <w:rsid w:val="6092597A"/>
    <w:rsid w:val="6772093A"/>
    <w:rsid w:val="68243381"/>
    <w:rsid w:val="70BC7979"/>
    <w:rsid w:val="73F9563A"/>
    <w:rsid w:val="78C6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
    <w:qFormat/>
    <w:pPr>
      <w:widowControl/>
      <w:spacing w:before="260" w:after="260" w:line="360" w:lineRule="auto"/>
      <w:jc w:val="left"/>
      <w:outlineLvl w:val="0"/>
    </w:pPr>
    <w:rPr>
      <w:rFonts w:ascii="Times New Roman" w:eastAsia="黑体" w:hAnsi="Times New Roman" w:cs="Times New Roman"/>
      <w:bCs/>
      <w:kern w:val="36"/>
      <w:sz w:val="20"/>
      <w:szCs w:val="48"/>
      <w:lang w:val="zh-CN"/>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E74B5"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2E74B5" w:themeColor="accent1" w:themeShade="BF"/>
      <w:szCs w:val="22"/>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Pr>
      <w:rFonts w:ascii="Times New Roman" w:eastAsia="宋体" w:hAnsi="Times New Roman" w:cs="Times New Roman"/>
      <w:sz w:val="20"/>
      <w:szCs w:val="20"/>
    </w:rPr>
  </w:style>
  <w:style w:type="paragraph" w:styleId="a4">
    <w:name w:val="Body Text"/>
    <w:basedOn w:val="a"/>
    <w:link w:val="Char0"/>
    <w:qFormat/>
    <w:pPr>
      <w:autoSpaceDE w:val="0"/>
      <w:autoSpaceDN w:val="0"/>
      <w:spacing w:beforeLines="50" w:afterLines="50" w:line="300" w:lineRule="auto"/>
    </w:pPr>
    <w:rPr>
      <w:rFonts w:ascii="宋体" w:eastAsia="宋体" w:hAnsi="宋体" w:cs="宋体"/>
      <w:kern w:val="0"/>
      <w:szCs w:val="21"/>
      <w:lang w:val="zh-CN" w:bidi="zh-CN"/>
    </w:rPr>
  </w:style>
  <w:style w:type="paragraph" w:styleId="a5">
    <w:name w:val="Body Text Indent"/>
    <w:basedOn w:val="a"/>
    <w:link w:val="Char1"/>
    <w:uiPriority w:val="99"/>
    <w:semiHidden/>
    <w:unhideWhenUsed/>
    <w:pPr>
      <w:spacing w:after="120"/>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10"/>
    <w:qFormat/>
    <w:pPr>
      <w:tabs>
        <w:tab w:val="center" w:pos="4153"/>
        <w:tab w:val="right" w:pos="8306"/>
      </w:tabs>
      <w:snapToGrid w:val="0"/>
      <w:jc w:val="left"/>
    </w:pPr>
    <w:rPr>
      <w:sz w:val="18"/>
      <w:szCs w:val="18"/>
    </w:rPr>
  </w:style>
  <w:style w:type="paragraph" w:styleId="a8">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3"/>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12"/>
    <w:uiPriority w:val="10"/>
    <w:qFormat/>
    <w:pPr>
      <w:spacing w:before="240" w:after="60" w:line="360" w:lineRule="auto"/>
      <w:ind w:firstLineChars="200" w:firstLine="200"/>
      <w:jc w:val="center"/>
      <w:outlineLvl w:val="0"/>
    </w:pPr>
    <w:rPr>
      <w:rFonts w:ascii="Cambria" w:eastAsia="黑体" w:hAnsi="Cambria" w:cs="Times New Roman"/>
      <w:b/>
      <w:bCs/>
      <w:kern w:val="0"/>
      <w:sz w:val="32"/>
      <w:szCs w:val="32"/>
      <w:lang w:val="zh-CN"/>
    </w:rPr>
  </w:style>
  <w:style w:type="paragraph" w:styleId="20">
    <w:name w:val="Body Text First Indent 2"/>
    <w:basedOn w:val="a5"/>
    <w:link w:val="2Char0"/>
    <w:uiPriority w:val="99"/>
    <w:semiHidden/>
    <w:unhideWhenUsed/>
    <w:pPr>
      <w:ind w:firstLineChars="200" w:firstLine="420"/>
    </w:pPr>
    <w:rPr>
      <w:rFonts w:ascii="Times New Roman" w:eastAsia="宋体" w:hAnsi="Times New Roman" w:cs="Times New Roman"/>
      <w:szCs w:val="20"/>
    </w:rPr>
  </w:style>
  <w:style w:type="character" w:styleId="ac">
    <w:name w:val="annotation reference"/>
    <w:basedOn w:val="a0"/>
    <w:uiPriority w:val="99"/>
    <w:semiHidden/>
    <w:unhideWhenUsed/>
    <w:rPr>
      <w:sz w:val="16"/>
      <w:szCs w:val="16"/>
    </w:rPr>
  </w:style>
  <w:style w:type="character" w:customStyle="1" w:styleId="Char4">
    <w:name w:val="页眉 Char"/>
    <w:basedOn w:val="a0"/>
    <w:qFormat/>
    <w:rPr>
      <w:kern w:val="2"/>
      <w:sz w:val="18"/>
      <w:szCs w:val="18"/>
    </w:rPr>
  </w:style>
  <w:style w:type="character" w:customStyle="1" w:styleId="Char5">
    <w:name w:val="页脚 Char"/>
    <w:basedOn w:val="a0"/>
    <w:qFormat/>
    <w:rPr>
      <w:kern w:val="2"/>
      <w:sz w:val="18"/>
      <w:szCs w:val="18"/>
    </w:rPr>
  </w:style>
  <w:style w:type="character" w:customStyle="1" w:styleId="Char">
    <w:name w:val="批注文字 Char"/>
    <w:basedOn w:val="a0"/>
    <w:link w:val="a3"/>
    <w:uiPriority w:val="99"/>
    <w:qFormat/>
    <w:rPr>
      <w:rFonts w:ascii="Times New Roman" w:eastAsia="宋体" w:hAnsi="Times New Roman" w:cs="Times New Roman"/>
      <w:kern w:val="2"/>
    </w:rPr>
  </w:style>
  <w:style w:type="character" w:customStyle="1" w:styleId="Char1">
    <w:name w:val="正文文本缩进 Char"/>
    <w:basedOn w:val="a0"/>
    <w:link w:val="a5"/>
    <w:qFormat/>
    <w:rPr>
      <w:kern w:val="2"/>
      <w:sz w:val="21"/>
      <w:szCs w:val="24"/>
    </w:rPr>
  </w:style>
  <w:style w:type="character" w:customStyle="1" w:styleId="2Char0">
    <w:name w:val="正文首行缩进 2 Char"/>
    <w:basedOn w:val="Char1"/>
    <w:link w:val="20"/>
    <w:uiPriority w:val="99"/>
    <w:qFormat/>
    <w:rPr>
      <w:rFonts w:ascii="Times New Roman" w:eastAsia="宋体" w:hAnsi="Times New Roman" w:cs="Times New Roman"/>
      <w:kern w:val="2"/>
      <w:sz w:val="21"/>
      <w:szCs w:val="24"/>
    </w:rPr>
  </w:style>
  <w:style w:type="character" w:customStyle="1" w:styleId="markedcontent">
    <w:name w:val="markedcontent"/>
    <w:qFormat/>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1Char">
    <w:name w:val="标题 1 Char"/>
    <w:basedOn w:val="a0"/>
    <w:uiPriority w:val="9"/>
    <w:qFormat/>
    <w:rPr>
      <w:rFonts w:ascii="Times New Roman" w:eastAsia="黑体" w:hAnsi="Times New Roman" w:cs="Times New Roman"/>
      <w:bCs/>
      <w:kern w:val="36"/>
      <w:szCs w:val="48"/>
      <w:lang w:val="zh-CN" w:eastAsia="zh-CN"/>
    </w:rPr>
  </w:style>
  <w:style w:type="character" w:customStyle="1" w:styleId="Char6">
    <w:name w:val="标题 Char"/>
    <w:basedOn w:val="a0"/>
    <w:uiPriority w:val="10"/>
    <w:qFormat/>
    <w:rPr>
      <w:rFonts w:ascii="Cambria" w:eastAsia="黑体" w:hAnsi="Cambria" w:cs="Times New Roman"/>
      <w:b/>
      <w:bCs/>
      <w:sz w:val="32"/>
      <w:szCs w:val="32"/>
      <w:lang w:val="zh-CN" w:eastAsia="zh-CN"/>
    </w:rPr>
  </w:style>
  <w:style w:type="character" w:customStyle="1" w:styleId="Char2">
    <w:name w:val="批注框文本 Char"/>
    <w:basedOn w:val="a0"/>
    <w:link w:val="a6"/>
    <w:qFormat/>
    <w:rPr>
      <w:kern w:val="2"/>
      <w:sz w:val="18"/>
      <w:szCs w:val="18"/>
    </w:rPr>
  </w:style>
  <w:style w:type="character" w:customStyle="1" w:styleId="1Char1">
    <w:name w:val="标题 1 Char1"/>
    <w:basedOn w:val="a0"/>
    <w:link w:val="1"/>
    <w:uiPriority w:val="9"/>
    <w:qFormat/>
    <w:rPr>
      <w:rFonts w:asciiTheme="majorHAnsi" w:eastAsiaTheme="majorEastAsia" w:hAnsiTheme="majorHAnsi" w:cstheme="majorBidi"/>
      <w:color w:val="2E74B5"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E74B5"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2E74B5" w:themeColor="accent1" w:themeShade="BF"/>
      <w:sz w:val="32"/>
      <w:szCs w:val="32"/>
    </w:rPr>
  </w:style>
  <w:style w:type="character" w:customStyle="1" w:styleId="4Char">
    <w:name w:val="标题 4 Char"/>
    <w:basedOn w:val="a0"/>
    <w:link w:val="4"/>
    <w:uiPriority w:val="9"/>
    <w:semiHidden/>
    <w:qFormat/>
    <w:rPr>
      <w:rFonts w:asciiTheme="minorHAnsi" w:eastAsiaTheme="minorEastAsia" w:hAnsiTheme="minorHAnsi" w:cstheme="majorBidi"/>
      <w:color w:val="2E74B5" w:themeColor="accent1" w:themeShade="BF"/>
      <w:sz w:val="28"/>
      <w:szCs w:val="28"/>
    </w:rPr>
  </w:style>
  <w:style w:type="character" w:customStyle="1" w:styleId="5Char">
    <w:name w:val="标题 5 Char"/>
    <w:basedOn w:val="a0"/>
    <w:link w:val="5"/>
    <w:uiPriority w:val="9"/>
    <w:semiHidden/>
    <w:qFormat/>
    <w:rPr>
      <w:rFonts w:asciiTheme="minorHAnsi" w:eastAsiaTheme="minorEastAsia" w:hAnsiTheme="minorHAnsi" w:cstheme="majorBidi"/>
      <w:color w:val="2E74B5" w:themeColor="accent1" w:themeShade="BF"/>
      <w:sz w:val="24"/>
    </w:rPr>
  </w:style>
  <w:style w:type="character" w:customStyle="1" w:styleId="6Char">
    <w:name w:val="标题 6 Char"/>
    <w:basedOn w:val="a0"/>
    <w:link w:val="6"/>
    <w:uiPriority w:val="9"/>
    <w:semiHidden/>
    <w:qFormat/>
    <w:rPr>
      <w:rFonts w:asciiTheme="minorHAnsi" w:eastAsiaTheme="minorEastAsia" w:hAnsiTheme="minorHAnsi" w:cstheme="majorBidi"/>
      <w:b/>
      <w:bCs/>
      <w:color w:val="2E74B5" w:themeColor="accent1" w:themeShade="BF"/>
      <w:szCs w:val="22"/>
    </w:rPr>
  </w:style>
  <w:style w:type="character" w:customStyle="1" w:styleId="7Char">
    <w:name w:val="标题 7 Char"/>
    <w:basedOn w:val="a0"/>
    <w:link w:val="7"/>
    <w:uiPriority w:val="9"/>
    <w:semiHidden/>
    <w:qFormat/>
    <w:rPr>
      <w:rFonts w:asciiTheme="minorHAnsi" w:eastAsiaTheme="minorEastAsia" w:hAnsiTheme="minorHAnsi" w:cstheme="majorBidi"/>
      <w:b/>
      <w:bCs/>
      <w:color w:val="595959" w:themeColor="text1" w:themeTint="A6"/>
      <w:szCs w:val="22"/>
    </w:rPr>
  </w:style>
  <w:style w:type="character" w:customStyle="1" w:styleId="8Char">
    <w:name w:val="标题 8 Char"/>
    <w:basedOn w:val="a0"/>
    <w:link w:val="8"/>
    <w:uiPriority w:val="9"/>
    <w:semiHidden/>
    <w:qFormat/>
    <w:rPr>
      <w:rFonts w:asciiTheme="minorHAnsi" w:eastAsiaTheme="minorEastAsia" w:hAnsiTheme="minorHAnsi" w:cstheme="majorBidi"/>
      <w:color w:val="595959" w:themeColor="text1" w:themeTint="A6"/>
      <w:szCs w:val="22"/>
    </w:rPr>
  </w:style>
  <w:style w:type="character" w:customStyle="1" w:styleId="9Char">
    <w:name w:val="标题 9 Char"/>
    <w:basedOn w:val="a0"/>
    <w:link w:val="9"/>
    <w:uiPriority w:val="9"/>
    <w:semiHidden/>
    <w:qFormat/>
    <w:rPr>
      <w:rFonts w:asciiTheme="minorHAnsi" w:eastAsiaTheme="majorEastAsia" w:hAnsiTheme="minorHAnsi" w:cstheme="majorBidi"/>
      <w:color w:val="595959" w:themeColor="text1" w:themeTint="A6"/>
      <w:szCs w:val="22"/>
    </w:rPr>
  </w:style>
  <w:style w:type="character" w:customStyle="1" w:styleId="Char12">
    <w:name w:val="标题 Char1"/>
    <w:basedOn w:val="a0"/>
    <w:link w:val="ab"/>
    <w:uiPriority w:val="10"/>
    <w:qFormat/>
    <w:rPr>
      <w:rFonts w:asciiTheme="majorHAnsi" w:eastAsiaTheme="majorEastAsia" w:hAnsiTheme="majorHAnsi" w:cstheme="majorBidi"/>
      <w:spacing w:val="-10"/>
      <w:kern w:val="28"/>
      <w:sz w:val="56"/>
      <w:szCs w:val="56"/>
    </w:rPr>
  </w:style>
  <w:style w:type="character" w:customStyle="1" w:styleId="Char3">
    <w:name w:val="副标题 Char"/>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Char7"/>
    <w:uiPriority w:val="29"/>
    <w:qFormat/>
    <w:pPr>
      <w:spacing w:before="160" w:after="160"/>
      <w:jc w:val="center"/>
    </w:pPr>
    <w:rPr>
      <w:i/>
      <w:iCs/>
      <w:color w:val="404040" w:themeColor="text1" w:themeTint="BF"/>
      <w:szCs w:val="22"/>
    </w:rPr>
  </w:style>
  <w:style w:type="character" w:customStyle="1" w:styleId="Char7">
    <w:name w:val="引用 Char"/>
    <w:basedOn w:val="a0"/>
    <w:link w:val="ad"/>
    <w:uiPriority w:val="29"/>
    <w:qFormat/>
    <w:rPr>
      <w:rFonts w:asciiTheme="minorHAnsi" w:eastAsiaTheme="minorEastAsia" w:hAnsiTheme="minorHAnsi" w:cstheme="minorBidi"/>
      <w:i/>
      <w:iCs/>
      <w:color w:val="404040" w:themeColor="text1" w:themeTint="BF"/>
      <w:szCs w:val="22"/>
    </w:rPr>
  </w:style>
  <w:style w:type="paragraph" w:styleId="ae">
    <w:name w:val="List Paragraph"/>
    <w:basedOn w:val="a"/>
    <w:uiPriority w:val="34"/>
    <w:qFormat/>
    <w:pPr>
      <w:ind w:left="720"/>
      <w:contextualSpacing/>
    </w:pPr>
    <w:rPr>
      <w:szCs w:val="22"/>
    </w:rPr>
  </w:style>
  <w:style w:type="character" w:customStyle="1" w:styleId="10">
    <w:name w:val="明显强调1"/>
    <w:basedOn w:val="a0"/>
    <w:uiPriority w:val="21"/>
    <w:qFormat/>
    <w:rPr>
      <w:rFonts w:asciiTheme="minorHAnsi" w:eastAsiaTheme="minorEastAsia" w:hAnsiTheme="minorHAnsi" w:cstheme="minorBidi"/>
      <w:i/>
      <w:iCs/>
      <w:color w:val="2E74B5" w:themeColor="accent1" w:themeShade="BF"/>
    </w:rPr>
  </w:style>
  <w:style w:type="paragraph" w:styleId="af">
    <w:name w:val="Intense Quote"/>
    <w:basedOn w:val="a"/>
    <w:next w:val="a"/>
    <w:link w:val="Char8"/>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Char8">
    <w:name w:val="明显引用 Char"/>
    <w:basedOn w:val="a0"/>
    <w:link w:val="af"/>
    <w:uiPriority w:val="30"/>
    <w:qFormat/>
    <w:rPr>
      <w:rFonts w:asciiTheme="minorHAnsi" w:eastAsiaTheme="minorEastAsia" w:hAnsiTheme="minorHAnsi" w:cstheme="minorBidi"/>
      <w:i/>
      <w:iCs/>
      <w:color w:val="2E74B5" w:themeColor="accent1" w:themeShade="BF"/>
      <w:szCs w:val="22"/>
    </w:rPr>
  </w:style>
  <w:style w:type="character" w:customStyle="1" w:styleId="11">
    <w:name w:val="明显参考1"/>
    <w:basedOn w:val="a0"/>
    <w:uiPriority w:val="32"/>
    <w:qFormat/>
    <w:rPr>
      <w:rFonts w:asciiTheme="minorHAnsi" w:eastAsiaTheme="minorEastAsia" w:hAnsiTheme="minorHAnsi" w:cstheme="minorBidi"/>
      <w:b/>
      <w:bCs/>
      <w:smallCaps/>
      <w:color w:val="2E74B5" w:themeColor="accent1" w:themeShade="BF"/>
      <w:spacing w:val="5"/>
    </w:rPr>
  </w:style>
  <w:style w:type="character" w:customStyle="1" w:styleId="Char11">
    <w:name w:val="页眉 Char1"/>
    <w:basedOn w:val="a0"/>
    <w:link w:val="a8"/>
    <w:qFormat/>
    <w:rPr>
      <w:rFonts w:asciiTheme="minorHAnsi" w:eastAsiaTheme="minorEastAsia" w:hAnsiTheme="minorHAnsi" w:cstheme="minorBidi"/>
      <w:sz w:val="18"/>
      <w:szCs w:val="18"/>
    </w:rPr>
  </w:style>
  <w:style w:type="character" w:customStyle="1" w:styleId="Char10">
    <w:name w:val="页脚 Char1"/>
    <w:basedOn w:val="a0"/>
    <w:link w:val="a7"/>
    <w:qFormat/>
    <w:rPr>
      <w:rFonts w:asciiTheme="minorHAnsi" w:eastAsiaTheme="minorEastAsia" w:hAnsiTheme="minorHAnsi" w:cstheme="minorBidi"/>
      <w:sz w:val="18"/>
      <w:szCs w:val="18"/>
    </w:rPr>
  </w:style>
  <w:style w:type="character" w:customStyle="1" w:styleId="Char0">
    <w:name w:val="正文文本 Char"/>
    <w:basedOn w:val="a0"/>
    <w:link w:val="a4"/>
    <w:qFormat/>
    <w:rPr>
      <w:rFonts w:ascii="宋体" w:eastAsia="宋体" w:hAnsi="宋体" w:cs="宋体"/>
      <w:kern w:val="0"/>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
    <w:qFormat/>
    <w:pPr>
      <w:widowControl/>
      <w:spacing w:before="260" w:after="260" w:line="360" w:lineRule="auto"/>
      <w:jc w:val="left"/>
      <w:outlineLvl w:val="0"/>
    </w:pPr>
    <w:rPr>
      <w:rFonts w:ascii="Times New Roman" w:eastAsia="黑体" w:hAnsi="Times New Roman" w:cs="Times New Roman"/>
      <w:bCs/>
      <w:kern w:val="36"/>
      <w:sz w:val="20"/>
      <w:szCs w:val="48"/>
      <w:lang w:val="zh-CN"/>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E74B5"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2E74B5" w:themeColor="accent1" w:themeShade="BF"/>
      <w:szCs w:val="22"/>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Pr>
      <w:rFonts w:ascii="Times New Roman" w:eastAsia="宋体" w:hAnsi="Times New Roman" w:cs="Times New Roman"/>
      <w:sz w:val="20"/>
      <w:szCs w:val="20"/>
    </w:rPr>
  </w:style>
  <w:style w:type="paragraph" w:styleId="a4">
    <w:name w:val="Body Text"/>
    <w:basedOn w:val="a"/>
    <w:link w:val="Char0"/>
    <w:qFormat/>
    <w:pPr>
      <w:autoSpaceDE w:val="0"/>
      <w:autoSpaceDN w:val="0"/>
      <w:spacing w:beforeLines="50" w:afterLines="50" w:line="300" w:lineRule="auto"/>
    </w:pPr>
    <w:rPr>
      <w:rFonts w:ascii="宋体" w:eastAsia="宋体" w:hAnsi="宋体" w:cs="宋体"/>
      <w:kern w:val="0"/>
      <w:szCs w:val="21"/>
      <w:lang w:val="zh-CN" w:bidi="zh-CN"/>
    </w:rPr>
  </w:style>
  <w:style w:type="paragraph" w:styleId="a5">
    <w:name w:val="Body Text Indent"/>
    <w:basedOn w:val="a"/>
    <w:link w:val="Char1"/>
    <w:uiPriority w:val="99"/>
    <w:semiHidden/>
    <w:unhideWhenUsed/>
    <w:pPr>
      <w:spacing w:after="120"/>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10"/>
    <w:qFormat/>
    <w:pPr>
      <w:tabs>
        <w:tab w:val="center" w:pos="4153"/>
        <w:tab w:val="right" w:pos="8306"/>
      </w:tabs>
      <w:snapToGrid w:val="0"/>
      <w:jc w:val="left"/>
    </w:pPr>
    <w:rPr>
      <w:sz w:val="18"/>
      <w:szCs w:val="18"/>
    </w:rPr>
  </w:style>
  <w:style w:type="paragraph" w:styleId="a8">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3"/>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12"/>
    <w:uiPriority w:val="10"/>
    <w:qFormat/>
    <w:pPr>
      <w:spacing w:before="240" w:after="60" w:line="360" w:lineRule="auto"/>
      <w:ind w:firstLineChars="200" w:firstLine="200"/>
      <w:jc w:val="center"/>
      <w:outlineLvl w:val="0"/>
    </w:pPr>
    <w:rPr>
      <w:rFonts w:ascii="Cambria" w:eastAsia="黑体" w:hAnsi="Cambria" w:cs="Times New Roman"/>
      <w:b/>
      <w:bCs/>
      <w:kern w:val="0"/>
      <w:sz w:val="32"/>
      <w:szCs w:val="32"/>
      <w:lang w:val="zh-CN"/>
    </w:rPr>
  </w:style>
  <w:style w:type="paragraph" w:styleId="20">
    <w:name w:val="Body Text First Indent 2"/>
    <w:basedOn w:val="a5"/>
    <w:link w:val="2Char0"/>
    <w:uiPriority w:val="99"/>
    <w:semiHidden/>
    <w:unhideWhenUsed/>
    <w:pPr>
      <w:ind w:firstLineChars="200" w:firstLine="420"/>
    </w:pPr>
    <w:rPr>
      <w:rFonts w:ascii="Times New Roman" w:eastAsia="宋体" w:hAnsi="Times New Roman" w:cs="Times New Roman"/>
      <w:szCs w:val="20"/>
    </w:rPr>
  </w:style>
  <w:style w:type="character" w:styleId="ac">
    <w:name w:val="annotation reference"/>
    <w:basedOn w:val="a0"/>
    <w:uiPriority w:val="99"/>
    <w:semiHidden/>
    <w:unhideWhenUsed/>
    <w:rPr>
      <w:sz w:val="16"/>
      <w:szCs w:val="16"/>
    </w:rPr>
  </w:style>
  <w:style w:type="character" w:customStyle="1" w:styleId="Char4">
    <w:name w:val="页眉 Char"/>
    <w:basedOn w:val="a0"/>
    <w:qFormat/>
    <w:rPr>
      <w:kern w:val="2"/>
      <w:sz w:val="18"/>
      <w:szCs w:val="18"/>
    </w:rPr>
  </w:style>
  <w:style w:type="character" w:customStyle="1" w:styleId="Char5">
    <w:name w:val="页脚 Char"/>
    <w:basedOn w:val="a0"/>
    <w:qFormat/>
    <w:rPr>
      <w:kern w:val="2"/>
      <w:sz w:val="18"/>
      <w:szCs w:val="18"/>
    </w:rPr>
  </w:style>
  <w:style w:type="character" w:customStyle="1" w:styleId="Char">
    <w:name w:val="批注文字 Char"/>
    <w:basedOn w:val="a0"/>
    <w:link w:val="a3"/>
    <w:uiPriority w:val="99"/>
    <w:qFormat/>
    <w:rPr>
      <w:rFonts w:ascii="Times New Roman" w:eastAsia="宋体" w:hAnsi="Times New Roman" w:cs="Times New Roman"/>
      <w:kern w:val="2"/>
    </w:rPr>
  </w:style>
  <w:style w:type="character" w:customStyle="1" w:styleId="Char1">
    <w:name w:val="正文文本缩进 Char"/>
    <w:basedOn w:val="a0"/>
    <w:link w:val="a5"/>
    <w:qFormat/>
    <w:rPr>
      <w:kern w:val="2"/>
      <w:sz w:val="21"/>
      <w:szCs w:val="24"/>
    </w:rPr>
  </w:style>
  <w:style w:type="character" w:customStyle="1" w:styleId="2Char0">
    <w:name w:val="正文首行缩进 2 Char"/>
    <w:basedOn w:val="Char1"/>
    <w:link w:val="20"/>
    <w:uiPriority w:val="99"/>
    <w:qFormat/>
    <w:rPr>
      <w:rFonts w:ascii="Times New Roman" w:eastAsia="宋体" w:hAnsi="Times New Roman" w:cs="Times New Roman"/>
      <w:kern w:val="2"/>
      <w:sz w:val="21"/>
      <w:szCs w:val="24"/>
    </w:rPr>
  </w:style>
  <w:style w:type="character" w:customStyle="1" w:styleId="markedcontent">
    <w:name w:val="markedcontent"/>
    <w:qFormat/>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1Char">
    <w:name w:val="标题 1 Char"/>
    <w:basedOn w:val="a0"/>
    <w:uiPriority w:val="9"/>
    <w:qFormat/>
    <w:rPr>
      <w:rFonts w:ascii="Times New Roman" w:eastAsia="黑体" w:hAnsi="Times New Roman" w:cs="Times New Roman"/>
      <w:bCs/>
      <w:kern w:val="36"/>
      <w:szCs w:val="48"/>
      <w:lang w:val="zh-CN" w:eastAsia="zh-CN"/>
    </w:rPr>
  </w:style>
  <w:style w:type="character" w:customStyle="1" w:styleId="Char6">
    <w:name w:val="标题 Char"/>
    <w:basedOn w:val="a0"/>
    <w:uiPriority w:val="10"/>
    <w:qFormat/>
    <w:rPr>
      <w:rFonts w:ascii="Cambria" w:eastAsia="黑体" w:hAnsi="Cambria" w:cs="Times New Roman"/>
      <w:b/>
      <w:bCs/>
      <w:sz w:val="32"/>
      <w:szCs w:val="32"/>
      <w:lang w:val="zh-CN" w:eastAsia="zh-CN"/>
    </w:rPr>
  </w:style>
  <w:style w:type="character" w:customStyle="1" w:styleId="Char2">
    <w:name w:val="批注框文本 Char"/>
    <w:basedOn w:val="a0"/>
    <w:link w:val="a6"/>
    <w:qFormat/>
    <w:rPr>
      <w:kern w:val="2"/>
      <w:sz w:val="18"/>
      <w:szCs w:val="18"/>
    </w:rPr>
  </w:style>
  <w:style w:type="character" w:customStyle="1" w:styleId="1Char1">
    <w:name w:val="标题 1 Char1"/>
    <w:basedOn w:val="a0"/>
    <w:link w:val="1"/>
    <w:uiPriority w:val="9"/>
    <w:qFormat/>
    <w:rPr>
      <w:rFonts w:asciiTheme="majorHAnsi" w:eastAsiaTheme="majorEastAsia" w:hAnsiTheme="majorHAnsi" w:cstheme="majorBidi"/>
      <w:color w:val="2E74B5"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2E74B5"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2E74B5" w:themeColor="accent1" w:themeShade="BF"/>
      <w:sz w:val="32"/>
      <w:szCs w:val="32"/>
    </w:rPr>
  </w:style>
  <w:style w:type="character" w:customStyle="1" w:styleId="4Char">
    <w:name w:val="标题 4 Char"/>
    <w:basedOn w:val="a0"/>
    <w:link w:val="4"/>
    <w:uiPriority w:val="9"/>
    <w:semiHidden/>
    <w:qFormat/>
    <w:rPr>
      <w:rFonts w:asciiTheme="minorHAnsi" w:eastAsiaTheme="minorEastAsia" w:hAnsiTheme="minorHAnsi" w:cstheme="majorBidi"/>
      <w:color w:val="2E74B5" w:themeColor="accent1" w:themeShade="BF"/>
      <w:sz w:val="28"/>
      <w:szCs w:val="28"/>
    </w:rPr>
  </w:style>
  <w:style w:type="character" w:customStyle="1" w:styleId="5Char">
    <w:name w:val="标题 5 Char"/>
    <w:basedOn w:val="a0"/>
    <w:link w:val="5"/>
    <w:uiPriority w:val="9"/>
    <w:semiHidden/>
    <w:qFormat/>
    <w:rPr>
      <w:rFonts w:asciiTheme="minorHAnsi" w:eastAsiaTheme="minorEastAsia" w:hAnsiTheme="minorHAnsi" w:cstheme="majorBidi"/>
      <w:color w:val="2E74B5" w:themeColor="accent1" w:themeShade="BF"/>
      <w:sz w:val="24"/>
    </w:rPr>
  </w:style>
  <w:style w:type="character" w:customStyle="1" w:styleId="6Char">
    <w:name w:val="标题 6 Char"/>
    <w:basedOn w:val="a0"/>
    <w:link w:val="6"/>
    <w:uiPriority w:val="9"/>
    <w:semiHidden/>
    <w:qFormat/>
    <w:rPr>
      <w:rFonts w:asciiTheme="minorHAnsi" w:eastAsiaTheme="minorEastAsia" w:hAnsiTheme="minorHAnsi" w:cstheme="majorBidi"/>
      <w:b/>
      <w:bCs/>
      <w:color w:val="2E74B5" w:themeColor="accent1" w:themeShade="BF"/>
      <w:szCs w:val="22"/>
    </w:rPr>
  </w:style>
  <w:style w:type="character" w:customStyle="1" w:styleId="7Char">
    <w:name w:val="标题 7 Char"/>
    <w:basedOn w:val="a0"/>
    <w:link w:val="7"/>
    <w:uiPriority w:val="9"/>
    <w:semiHidden/>
    <w:qFormat/>
    <w:rPr>
      <w:rFonts w:asciiTheme="minorHAnsi" w:eastAsiaTheme="minorEastAsia" w:hAnsiTheme="minorHAnsi" w:cstheme="majorBidi"/>
      <w:b/>
      <w:bCs/>
      <w:color w:val="595959" w:themeColor="text1" w:themeTint="A6"/>
      <w:szCs w:val="22"/>
    </w:rPr>
  </w:style>
  <w:style w:type="character" w:customStyle="1" w:styleId="8Char">
    <w:name w:val="标题 8 Char"/>
    <w:basedOn w:val="a0"/>
    <w:link w:val="8"/>
    <w:uiPriority w:val="9"/>
    <w:semiHidden/>
    <w:qFormat/>
    <w:rPr>
      <w:rFonts w:asciiTheme="minorHAnsi" w:eastAsiaTheme="minorEastAsia" w:hAnsiTheme="minorHAnsi" w:cstheme="majorBidi"/>
      <w:color w:val="595959" w:themeColor="text1" w:themeTint="A6"/>
      <w:szCs w:val="22"/>
    </w:rPr>
  </w:style>
  <w:style w:type="character" w:customStyle="1" w:styleId="9Char">
    <w:name w:val="标题 9 Char"/>
    <w:basedOn w:val="a0"/>
    <w:link w:val="9"/>
    <w:uiPriority w:val="9"/>
    <w:semiHidden/>
    <w:qFormat/>
    <w:rPr>
      <w:rFonts w:asciiTheme="minorHAnsi" w:eastAsiaTheme="majorEastAsia" w:hAnsiTheme="minorHAnsi" w:cstheme="majorBidi"/>
      <w:color w:val="595959" w:themeColor="text1" w:themeTint="A6"/>
      <w:szCs w:val="22"/>
    </w:rPr>
  </w:style>
  <w:style w:type="character" w:customStyle="1" w:styleId="Char12">
    <w:name w:val="标题 Char1"/>
    <w:basedOn w:val="a0"/>
    <w:link w:val="ab"/>
    <w:uiPriority w:val="10"/>
    <w:qFormat/>
    <w:rPr>
      <w:rFonts w:asciiTheme="majorHAnsi" w:eastAsiaTheme="majorEastAsia" w:hAnsiTheme="majorHAnsi" w:cstheme="majorBidi"/>
      <w:spacing w:val="-10"/>
      <w:kern w:val="28"/>
      <w:sz w:val="56"/>
      <w:szCs w:val="56"/>
    </w:rPr>
  </w:style>
  <w:style w:type="character" w:customStyle="1" w:styleId="Char3">
    <w:name w:val="副标题 Char"/>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Char7"/>
    <w:uiPriority w:val="29"/>
    <w:qFormat/>
    <w:pPr>
      <w:spacing w:before="160" w:after="160"/>
      <w:jc w:val="center"/>
    </w:pPr>
    <w:rPr>
      <w:i/>
      <w:iCs/>
      <w:color w:val="404040" w:themeColor="text1" w:themeTint="BF"/>
      <w:szCs w:val="22"/>
    </w:rPr>
  </w:style>
  <w:style w:type="character" w:customStyle="1" w:styleId="Char7">
    <w:name w:val="引用 Char"/>
    <w:basedOn w:val="a0"/>
    <w:link w:val="ad"/>
    <w:uiPriority w:val="29"/>
    <w:qFormat/>
    <w:rPr>
      <w:rFonts w:asciiTheme="minorHAnsi" w:eastAsiaTheme="minorEastAsia" w:hAnsiTheme="minorHAnsi" w:cstheme="minorBidi"/>
      <w:i/>
      <w:iCs/>
      <w:color w:val="404040" w:themeColor="text1" w:themeTint="BF"/>
      <w:szCs w:val="22"/>
    </w:rPr>
  </w:style>
  <w:style w:type="paragraph" w:styleId="ae">
    <w:name w:val="List Paragraph"/>
    <w:basedOn w:val="a"/>
    <w:uiPriority w:val="34"/>
    <w:qFormat/>
    <w:pPr>
      <w:ind w:left="720"/>
      <w:contextualSpacing/>
    </w:pPr>
    <w:rPr>
      <w:szCs w:val="22"/>
    </w:rPr>
  </w:style>
  <w:style w:type="character" w:customStyle="1" w:styleId="10">
    <w:name w:val="明显强调1"/>
    <w:basedOn w:val="a0"/>
    <w:uiPriority w:val="21"/>
    <w:qFormat/>
    <w:rPr>
      <w:rFonts w:asciiTheme="minorHAnsi" w:eastAsiaTheme="minorEastAsia" w:hAnsiTheme="minorHAnsi" w:cstheme="minorBidi"/>
      <w:i/>
      <w:iCs/>
      <w:color w:val="2E74B5" w:themeColor="accent1" w:themeShade="BF"/>
    </w:rPr>
  </w:style>
  <w:style w:type="paragraph" w:styleId="af">
    <w:name w:val="Intense Quote"/>
    <w:basedOn w:val="a"/>
    <w:next w:val="a"/>
    <w:link w:val="Char8"/>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Char8">
    <w:name w:val="明显引用 Char"/>
    <w:basedOn w:val="a0"/>
    <w:link w:val="af"/>
    <w:uiPriority w:val="30"/>
    <w:qFormat/>
    <w:rPr>
      <w:rFonts w:asciiTheme="minorHAnsi" w:eastAsiaTheme="minorEastAsia" w:hAnsiTheme="minorHAnsi" w:cstheme="minorBidi"/>
      <w:i/>
      <w:iCs/>
      <w:color w:val="2E74B5" w:themeColor="accent1" w:themeShade="BF"/>
      <w:szCs w:val="22"/>
    </w:rPr>
  </w:style>
  <w:style w:type="character" w:customStyle="1" w:styleId="11">
    <w:name w:val="明显参考1"/>
    <w:basedOn w:val="a0"/>
    <w:uiPriority w:val="32"/>
    <w:qFormat/>
    <w:rPr>
      <w:rFonts w:asciiTheme="minorHAnsi" w:eastAsiaTheme="minorEastAsia" w:hAnsiTheme="minorHAnsi" w:cstheme="minorBidi"/>
      <w:b/>
      <w:bCs/>
      <w:smallCaps/>
      <w:color w:val="2E74B5" w:themeColor="accent1" w:themeShade="BF"/>
      <w:spacing w:val="5"/>
    </w:rPr>
  </w:style>
  <w:style w:type="character" w:customStyle="1" w:styleId="Char11">
    <w:name w:val="页眉 Char1"/>
    <w:basedOn w:val="a0"/>
    <w:link w:val="a8"/>
    <w:qFormat/>
    <w:rPr>
      <w:rFonts w:asciiTheme="minorHAnsi" w:eastAsiaTheme="minorEastAsia" w:hAnsiTheme="minorHAnsi" w:cstheme="minorBidi"/>
      <w:sz w:val="18"/>
      <w:szCs w:val="18"/>
    </w:rPr>
  </w:style>
  <w:style w:type="character" w:customStyle="1" w:styleId="Char10">
    <w:name w:val="页脚 Char1"/>
    <w:basedOn w:val="a0"/>
    <w:link w:val="a7"/>
    <w:qFormat/>
    <w:rPr>
      <w:rFonts w:asciiTheme="minorHAnsi" w:eastAsiaTheme="minorEastAsia" w:hAnsiTheme="minorHAnsi" w:cstheme="minorBidi"/>
      <w:sz w:val="18"/>
      <w:szCs w:val="18"/>
    </w:rPr>
  </w:style>
  <w:style w:type="character" w:customStyle="1" w:styleId="Char0">
    <w:name w:val="正文文本 Char"/>
    <w:basedOn w:val="a0"/>
    <w:link w:val="a4"/>
    <w:qFormat/>
    <w:rPr>
      <w:rFonts w:ascii="宋体" w:eastAsia="宋体" w:hAnsi="宋体" w:cs="宋体"/>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637</Words>
  <Characters>3633</Characters>
  <Application>Microsoft Office Word</Application>
  <DocSecurity>0</DocSecurity>
  <Lines>30</Lines>
  <Paragraphs>8</Paragraphs>
  <ScaleCrop>false</ScaleCrop>
  <Company>微软中国</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冬天的秘密</dc:creator>
  <cp:lastModifiedBy>裴新荣</cp:lastModifiedBy>
  <cp:revision>4</cp:revision>
  <dcterms:created xsi:type="dcterms:W3CDTF">2025-07-22T08:23:00Z</dcterms:created>
  <dcterms:modified xsi:type="dcterms:W3CDTF">2025-07-24T07:26:00Z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1833B80477704AABBEE368A6C21BA63C_13</vt:lpwstr>
  </property>
  <property fmtid="{D5CDD505-2E9C-101B-9397-08002B2CF9AE}" pid="4" name="KSOTemplateDocerSaveRecord">
    <vt:lpwstr>eyJoZGlkIjoiMzQxMjI3ZDM3ZDE0YzU0YWRiZDVkODJlNDQwNTc1NTIiLCJ1c2VySWQiOiIxNjY0ODcxOTE0In0=</vt:lpwstr>
  </property>
</Properties>
</file>