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AEC9EE">
      <w:pPr>
        <w:spacing w:before="156" w:beforeLines="50" w:after="156" w:afterLines="50" w:line="300" w:lineRule="auto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2</w:t>
      </w:r>
    </w:p>
    <w:p w14:paraId="0785B968">
      <w:pPr>
        <w:spacing w:before="156" w:beforeLines="50" w:after="156" w:afterLines="50" w:line="300" w:lineRule="auto"/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 w:cs="微软雅黑"/>
          <w:sz w:val="32"/>
          <w:szCs w:val="32"/>
          <w:lang w:val="en-US" w:eastAsia="zh-CN"/>
        </w:rPr>
        <w:t>甲基吡咯烷酮</w:t>
      </w:r>
      <w:r>
        <w:rPr>
          <w:rFonts w:hint="eastAsia" w:ascii="黑体" w:hAnsi="黑体" w:eastAsia="黑体"/>
          <w:sz w:val="32"/>
          <w:szCs w:val="32"/>
        </w:rPr>
        <w:t>（征求意见稿）</w:t>
      </w:r>
    </w:p>
    <w:tbl>
      <w:tblPr>
        <w:tblStyle w:val="7"/>
        <w:tblW w:w="839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8"/>
        <w:gridCol w:w="1016"/>
        <w:gridCol w:w="1521"/>
        <w:gridCol w:w="3757"/>
      </w:tblGrid>
      <w:tr w14:paraId="0D9924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2098" w:type="dxa"/>
            <w:vAlign w:val="center"/>
          </w:tcPr>
          <w:p w14:paraId="35803E54">
            <w:pPr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章节</w:t>
            </w:r>
          </w:p>
        </w:tc>
        <w:tc>
          <w:tcPr>
            <w:tcW w:w="1016" w:type="dxa"/>
            <w:vAlign w:val="center"/>
          </w:tcPr>
          <w:p w14:paraId="6FA49EDD">
            <w:pPr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序号</w:t>
            </w:r>
          </w:p>
        </w:tc>
        <w:tc>
          <w:tcPr>
            <w:tcW w:w="1521" w:type="dxa"/>
            <w:vAlign w:val="center"/>
          </w:tcPr>
          <w:p w14:paraId="3B493E8C">
            <w:pPr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中文名称</w:t>
            </w:r>
          </w:p>
        </w:tc>
        <w:tc>
          <w:tcPr>
            <w:tcW w:w="3757" w:type="dxa"/>
            <w:vAlign w:val="center"/>
          </w:tcPr>
          <w:p w14:paraId="03F16172">
            <w:pPr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英文名称</w:t>
            </w:r>
          </w:p>
        </w:tc>
      </w:tr>
      <w:tr w14:paraId="3060E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5" w:hRule="atLeast"/>
        </w:trPr>
        <w:tc>
          <w:tcPr>
            <w:tcW w:w="2098" w:type="dxa"/>
            <w:vAlign w:val="center"/>
          </w:tcPr>
          <w:p w14:paraId="28F38F50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第二章1 化妆品禁用原料目录（表1）</w:t>
            </w:r>
          </w:p>
        </w:tc>
        <w:tc>
          <w:tcPr>
            <w:tcW w:w="1016" w:type="dxa"/>
            <w:vAlign w:val="center"/>
          </w:tcPr>
          <w:p w14:paraId="649C93C7">
            <w:pPr>
              <w:jc w:val="center"/>
              <w:rPr>
                <w:rFonts w:hint="default" w:ascii="Times New Roman" w:hAnsi="Times New Roman" w:eastAsia="宋体" w:cs="Times New Roman"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1299</w:t>
            </w:r>
          </w:p>
        </w:tc>
        <w:tc>
          <w:tcPr>
            <w:tcW w:w="1521" w:type="dxa"/>
            <w:vAlign w:val="center"/>
          </w:tcPr>
          <w:p w14:paraId="471D0B58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甲基吡咯烷酮</w:t>
            </w:r>
          </w:p>
        </w:tc>
        <w:tc>
          <w:tcPr>
            <w:tcW w:w="3757" w:type="dxa"/>
            <w:vAlign w:val="center"/>
          </w:tcPr>
          <w:p w14:paraId="06E607A5"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bookmarkStart w:id="0" w:name="OLE_LINK10"/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N-Methyl-2-pyrrolidone</w:t>
            </w:r>
          </w:p>
          <w:p w14:paraId="09F65226"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（INCI：</w:t>
            </w:r>
            <w:bookmarkEnd w:id="0"/>
            <w:r>
              <w:rPr>
                <w:rFonts w:hint="default" w:ascii="Times New Roman" w:hAnsi="Times New Roman" w:cs="Times New Roman"/>
                <w:caps/>
                <w:smallCaps w:val="0"/>
                <w:color w:val="000000"/>
                <w:sz w:val="21"/>
                <w:szCs w:val="21"/>
              </w:rPr>
              <w:t>Methyl pyrrolidone</w:t>
            </w: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）</w:t>
            </w:r>
          </w:p>
          <w:p w14:paraId="4049170B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（CAS No. 872-50-4）</w:t>
            </w:r>
          </w:p>
        </w:tc>
      </w:tr>
    </w:tbl>
    <w:p w14:paraId="15B4E90B">
      <w:pPr>
        <w:rPr>
          <w:rFonts w:ascii="Times New Roman" w:hAnsi="Times New Roman" w:eastAsia="黑体"/>
          <w:szCs w:val="21"/>
        </w:rPr>
      </w:pPr>
    </w:p>
    <w:p w14:paraId="4FE3D073">
      <w:pPr>
        <w:spacing w:line="560" w:lineRule="exact"/>
        <w:rPr>
          <w:rFonts w:ascii="Times New Roman" w:hAnsi="Times New Roman" w:eastAsia="方正小标宋简体"/>
          <w:sz w:val="44"/>
          <w:szCs w:val="44"/>
        </w:rPr>
      </w:pPr>
      <w:r>
        <w:rPr>
          <w:rFonts w:ascii="Times New Roman" w:hAnsi="Times New Roman" w:eastAsia="黑体"/>
          <w:color w:val="FF0000"/>
          <w:sz w:val="24"/>
        </w:rPr>
        <w:br w:type="page"/>
      </w:r>
    </w:p>
    <w:p w14:paraId="080B7FA6">
      <w:pPr>
        <w:spacing w:before="156" w:beforeLines="50" w:after="156" w:afterLines="50" w:line="300" w:lineRule="auto"/>
        <w:jc w:val="center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甲基吡咯烷酮（征求意见稿）起草说明</w:t>
      </w:r>
    </w:p>
    <w:p w14:paraId="5A668F8F">
      <w:pPr>
        <w:spacing w:line="300" w:lineRule="auto"/>
        <w:ind w:firstLine="420" w:firstLineChars="200"/>
        <w:rPr>
          <w:rFonts w:hint="eastAsia" w:ascii="Times New Roman" w:hAnsi="Times New Roman"/>
          <w:szCs w:val="21"/>
        </w:rPr>
      </w:pPr>
      <w:bookmarkStart w:id="1" w:name="_Hlk207630564"/>
      <w:r>
        <w:rPr>
          <w:rFonts w:hint="eastAsia" w:ascii="Times New Roman" w:hAnsi="Times New Roman"/>
          <w:szCs w:val="21"/>
        </w:rPr>
        <w:t>为加强化妆品的监督管理，进一步提高化妆品使用安全性，国家药监局化妆品标准化技术委员会组织开展了《甲基吡咯烷酮》的</w:t>
      </w:r>
      <w:r>
        <w:rPr>
          <w:rFonts w:hint="eastAsia" w:ascii="Times New Roman" w:hAnsi="Times New Roman"/>
          <w:szCs w:val="21"/>
          <w:lang w:val="en-US" w:eastAsia="zh-CN"/>
        </w:rPr>
        <w:t>研究制定</w:t>
      </w:r>
      <w:r>
        <w:rPr>
          <w:rFonts w:hint="eastAsia" w:ascii="Times New Roman" w:hAnsi="Times New Roman"/>
          <w:szCs w:val="21"/>
        </w:rPr>
        <w:t>工作。现将有关情况说明如下：</w:t>
      </w:r>
    </w:p>
    <w:bookmarkEnd w:id="1"/>
    <w:p w14:paraId="092EFDED">
      <w:pPr>
        <w:pStyle w:val="12"/>
        <w:numPr>
          <w:ilvl w:val="0"/>
          <w:numId w:val="1"/>
        </w:numPr>
        <w:spacing w:before="156" w:beforeLines="50" w:after="156" w:afterLines="50" w:line="300" w:lineRule="auto"/>
        <w:ind w:firstLineChars="0"/>
        <w:rPr>
          <w:rFonts w:ascii="Times New Roman" w:hAnsi="Times New Roman" w:eastAsia="黑体"/>
          <w:szCs w:val="21"/>
        </w:rPr>
      </w:pPr>
      <w:r>
        <w:rPr>
          <w:rFonts w:hint="eastAsia" w:ascii="Times New Roman" w:hAnsi="Times New Roman" w:eastAsia="黑体"/>
          <w:szCs w:val="21"/>
        </w:rPr>
        <w:t>概述</w:t>
      </w:r>
    </w:p>
    <w:p w14:paraId="5173C733">
      <w:pPr>
        <w:spacing w:line="300" w:lineRule="auto"/>
        <w:ind w:firstLine="420" w:firstLineChars="200"/>
        <w:rPr>
          <w:rFonts w:ascii="Times New Roman" w:hAnsi="Times New Roman"/>
          <w:szCs w:val="21"/>
        </w:rPr>
      </w:pPr>
      <w:r>
        <w:rPr>
          <w:rFonts w:hint="eastAsia" w:ascii="Times New Roman" w:hAnsi="Times New Roman"/>
          <w:szCs w:val="21"/>
        </w:rPr>
        <w:t>甲基吡咯烷酮，</w:t>
      </w:r>
      <w:r>
        <w:rPr>
          <w:rFonts w:hint="eastAsia" w:ascii="Times New Roman" w:hAnsi="Times New Roman"/>
          <w:szCs w:val="21"/>
          <w:lang w:val="en-US" w:eastAsia="zh-CN"/>
        </w:rPr>
        <w:t>英文名称为</w:t>
      </w:r>
      <w:r>
        <w:rPr>
          <w:rFonts w:hint="default" w:ascii="Times New Roman" w:hAnsi="Times New Roman" w:cs="Times New Roman"/>
          <w:color w:val="000000"/>
          <w:szCs w:val="21"/>
        </w:rPr>
        <w:t>N-Methyl-2-pyrrolidone</w:t>
      </w:r>
      <w:r>
        <w:rPr>
          <w:rFonts w:hint="eastAsia" w:ascii="Times New Roman" w:hAnsi="Times New Roman"/>
          <w:szCs w:val="21"/>
          <w:lang w:val="en-US" w:eastAsia="zh-CN"/>
        </w:rPr>
        <w:t>，</w:t>
      </w:r>
      <w:r>
        <w:rPr>
          <w:rFonts w:hint="eastAsia" w:ascii="Times New Roman" w:hAnsi="Times New Roman"/>
          <w:szCs w:val="21"/>
        </w:rPr>
        <w:t>INCI名称为METHYL PYRROLIDONE，CAS号为872-50-4，收录于《已使用化妆品原料目录》。</w:t>
      </w:r>
    </w:p>
    <w:p w14:paraId="4035FB95">
      <w:pPr>
        <w:pStyle w:val="12"/>
        <w:numPr>
          <w:ilvl w:val="0"/>
          <w:numId w:val="1"/>
        </w:numPr>
        <w:spacing w:before="156" w:beforeLines="50" w:after="156" w:afterLines="50" w:line="300" w:lineRule="auto"/>
        <w:ind w:firstLineChars="0"/>
        <w:rPr>
          <w:rFonts w:hint="eastAsia" w:ascii="Times New Roman" w:hAnsi="Times New Roman" w:eastAsia="黑体"/>
          <w:szCs w:val="21"/>
        </w:rPr>
      </w:pPr>
      <w:r>
        <w:rPr>
          <w:rFonts w:hint="eastAsia" w:ascii="Times New Roman" w:hAnsi="Times New Roman" w:eastAsia="黑体"/>
          <w:szCs w:val="21"/>
        </w:rPr>
        <w:t>起草原则</w:t>
      </w:r>
    </w:p>
    <w:p w14:paraId="7EA364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00" w:lineRule="auto"/>
        <w:ind w:firstLine="0" w:firstLineChars="0"/>
        <w:textAlignment w:val="auto"/>
        <w:rPr>
          <w:rFonts w:ascii="Times New Roman" w:hAnsi="Times New Roman"/>
          <w:szCs w:val="21"/>
        </w:rPr>
      </w:pPr>
      <w:r>
        <w:rPr>
          <w:rFonts w:hint="eastAsia" w:ascii="Times New Roman" w:hAnsi="Times New Roman"/>
          <w:szCs w:val="21"/>
        </w:rPr>
        <w:t>（一）科学性原则</w:t>
      </w:r>
    </w:p>
    <w:p w14:paraId="5D617722">
      <w:pPr>
        <w:spacing w:line="300" w:lineRule="auto"/>
        <w:ind w:firstLine="420" w:firstLineChars="200"/>
        <w:rPr>
          <w:rFonts w:ascii="Times New Roman" w:hAnsi="Times New Roman"/>
          <w:szCs w:val="21"/>
        </w:rPr>
      </w:pPr>
      <w:r>
        <w:rPr>
          <w:rFonts w:hint="eastAsia" w:ascii="Times New Roman" w:hAnsi="Times New Roman"/>
          <w:szCs w:val="21"/>
        </w:rPr>
        <w:t>依据《化妆品安全评估技术导则（2021年版）》，参考欧盟消费者安全科学委员会（SCCS）等国际机构最新评估结论，以现有科学数据和相关信息为基础进行安全评估。</w:t>
      </w:r>
    </w:p>
    <w:p w14:paraId="7F242F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00" w:lineRule="auto"/>
        <w:ind w:firstLine="0" w:firstLineChars="0"/>
        <w:textAlignment w:val="auto"/>
        <w:rPr>
          <w:rFonts w:hint="eastAsia" w:ascii="Times New Roman" w:hAnsi="Times New Roman"/>
          <w:szCs w:val="21"/>
        </w:rPr>
      </w:pPr>
      <w:r>
        <w:rPr>
          <w:rFonts w:hint="eastAsia" w:ascii="Times New Roman" w:hAnsi="Times New Roman"/>
          <w:szCs w:val="21"/>
        </w:rPr>
        <w:t>（二）适用性原则</w:t>
      </w:r>
    </w:p>
    <w:p w14:paraId="2A313F1D">
      <w:pPr>
        <w:spacing w:line="300" w:lineRule="auto"/>
        <w:ind w:firstLine="420" w:firstLineChars="200"/>
        <w:rPr>
          <w:rFonts w:ascii="Times New Roman" w:hAnsi="Times New Roman"/>
          <w:szCs w:val="21"/>
        </w:rPr>
      </w:pPr>
      <w:r>
        <w:rPr>
          <w:rFonts w:hint="eastAsia" w:ascii="Times New Roman" w:hAnsi="Times New Roman"/>
          <w:szCs w:val="21"/>
        </w:rPr>
        <w:t>基于安全评估结论，综合考虑化妆品监管工作需求和行业实际，提出</w:t>
      </w:r>
      <w:r>
        <w:rPr>
          <w:rFonts w:hint="eastAsia" w:ascii="Times New Roman" w:hAnsi="Times New Roman"/>
          <w:szCs w:val="21"/>
          <w:lang w:val="en-US" w:eastAsia="zh-CN"/>
        </w:rPr>
        <w:t>标准</w:t>
      </w:r>
      <w:r>
        <w:rPr>
          <w:rFonts w:hint="default" w:ascii="Times New Roman" w:hAnsi="Times New Roman" w:cs="Times New Roman"/>
          <w:szCs w:val="21"/>
          <w:lang w:val="en-US" w:eastAsia="zh-CN"/>
        </w:rPr>
        <w:t>制定</w:t>
      </w:r>
      <w:r>
        <w:rPr>
          <w:rFonts w:hint="eastAsia" w:ascii="Times New Roman" w:hAnsi="Times New Roman"/>
          <w:szCs w:val="21"/>
        </w:rPr>
        <w:t>建议。</w:t>
      </w:r>
    </w:p>
    <w:p w14:paraId="3E4EF6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00" w:lineRule="auto"/>
        <w:ind w:firstLine="0" w:firstLineChars="0"/>
        <w:textAlignment w:val="auto"/>
        <w:rPr>
          <w:rFonts w:hint="eastAsia" w:ascii="Times New Roman" w:hAnsi="Times New Roman"/>
          <w:szCs w:val="21"/>
        </w:rPr>
      </w:pPr>
      <w:r>
        <w:rPr>
          <w:rFonts w:hint="eastAsia" w:ascii="Times New Roman" w:hAnsi="Times New Roman"/>
          <w:szCs w:val="21"/>
        </w:rPr>
        <w:t>（三）协调性原则</w:t>
      </w:r>
    </w:p>
    <w:p w14:paraId="38430855">
      <w:pPr>
        <w:spacing w:line="300" w:lineRule="auto"/>
        <w:ind w:firstLine="420" w:firstLineChars="200"/>
        <w:rPr>
          <w:rFonts w:ascii="Times New Roman" w:hAnsi="Times New Roman"/>
          <w:szCs w:val="21"/>
        </w:rPr>
      </w:pPr>
      <w:r>
        <w:rPr>
          <w:rFonts w:hint="eastAsia" w:ascii="Times New Roman" w:hAnsi="Times New Roman"/>
          <w:szCs w:val="21"/>
        </w:rPr>
        <w:t>参考欧盟、</w:t>
      </w:r>
      <w:r>
        <w:rPr>
          <w:rFonts w:hint="eastAsia" w:ascii="Times New Roman" w:hAnsi="Times New Roman"/>
          <w:szCs w:val="21"/>
          <w:lang w:val="en-US" w:eastAsia="zh-CN"/>
        </w:rPr>
        <w:t>东盟</w:t>
      </w:r>
      <w:r>
        <w:rPr>
          <w:rFonts w:hint="eastAsia" w:ascii="Times New Roman" w:hAnsi="Times New Roman"/>
          <w:szCs w:val="21"/>
        </w:rPr>
        <w:t>等国家或地区使用管理要求，确保</w:t>
      </w:r>
      <w:r>
        <w:rPr>
          <w:rFonts w:hint="default" w:ascii="Times New Roman" w:hAnsi="Times New Roman" w:cs="Times New Roman"/>
          <w:szCs w:val="21"/>
          <w:lang w:val="en-US" w:eastAsia="zh-CN"/>
        </w:rPr>
        <w:t>制定</w:t>
      </w:r>
      <w:r>
        <w:rPr>
          <w:rFonts w:hint="eastAsia" w:ascii="Times New Roman" w:hAnsi="Times New Roman"/>
          <w:szCs w:val="21"/>
        </w:rPr>
        <w:t>后的协调一致性。</w:t>
      </w:r>
    </w:p>
    <w:p w14:paraId="2B12E077">
      <w:pPr>
        <w:pStyle w:val="12"/>
        <w:numPr>
          <w:ilvl w:val="0"/>
          <w:numId w:val="1"/>
        </w:numPr>
        <w:spacing w:before="156" w:beforeLines="50" w:after="156" w:afterLines="50" w:line="300" w:lineRule="auto"/>
        <w:ind w:firstLineChars="0"/>
        <w:rPr>
          <w:rFonts w:hint="eastAsia" w:ascii="Times New Roman" w:hAnsi="Times New Roman" w:eastAsia="黑体"/>
          <w:szCs w:val="21"/>
        </w:rPr>
      </w:pPr>
      <w:r>
        <w:rPr>
          <w:rFonts w:hint="eastAsia" w:ascii="Times New Roman" w:hAnsi="Times New Roman" w:eastAsia="黑体"/>
          <w:szCs w:val="21"/>
        </w:rPr>
        <w:t>起草过程</w:t>
      </w:r>
    </w:p>
    <w:p w14:paraId="75C507F1">
      <w:pPr>
        <w:spacing w:line="300" w:lineRule="auto"/>
        <w:ind w:firstLine="420" w:firstLineChars="200"/>
        <w:rPr>
          <w:rFonts w:ascii="Times New Roman" w:hAnsi="Times New Roman"/>
          <w:szCs w:val="21"/>
        </w:rPr>
      </w:pPr>
      <w:r>
        <w:rPr>
          <w:rFonts w:hint="eastAsia" w:ascii="Times New Roman" w:hAnsi="Times New Roman"/>
          <w:szCs w:val="21"/>
        </w:rPr>
        <w:t>通过背景研究、资料文献整理及研究、安全评估、国内外监管政策调研、行业调研、专家论证等，形成《化妆品中甲基吡咯烷酮的安全评估报告》，提出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标准</w:t>
      </w:r>
      <w:r>
        <w:rPr>
          <w:rFonts w:hint="default" w:ascii="Times New Roman" w:hAnsi="Times New Roman" w:cs="Times New Roman"/>
          <w:szCs w:val="21"/>
          <w:lang w:val="en-US" w:eastAsia="zh-CN"/>
        </w:rPr>
        <w:t>制定</w:t>
      </w:r>
      <w:r>
        <w:rPr>
          <w:rFonts w:hint="eastAsia" w:ascii="Times New Roman" w:hAnsi="Times New Roman"/>
          <w:szCs w:val="21"/>
        </w:rPr>
        <w:t>建议。</w:t>
      </w:r>
    </w:p>
    <w:p w14:paraId="4497E530">
      <w:pPr>
        <w:pStyle w:val="12"/>
        <w:numPr>
          <w:ilvl w:val="0"/>
          <w:numId w:val="1"/>
        </w:numPr>
        <w:spacing w:before="156" w:beforeLines="50" w:after="156" w:afterLines="50" w:line="300" w:lineRule="auto"/>
        <w:ind w:firstLineChars="0"/>
        <w:rPr>
          <w:rFonts w:hint="eastAsia" w:ascii="Times New Roman" w:hAnsi="Times New Roman" w:eastAsia="黑体"/>
          <w:szCs w:val="21"/>
        </w:rPr>
      </w:pPr>
      <w:r>
        <w:rPr>
          <w:rFonts w:hint="eastAsia" w:ascii="Times New Roman" w:hAnsi="Times New Roman" w:eastAsia="黑体"/>
          <w:szCs w:val="21"/>
        </w:rPr>
        <w:t>与国际同类标准的关系</w:t>
      </w:r>
    </w:p>
    <w:p w14:paraId="54DCAD3F">
      <w:pPr>
        <w:spacing w:line="300" w:lineRule="auto"/>
        <w:ind w:firstLine="420" w:firstLineChars="200"/>
        <w:rPr>
          <w:rFonts w:ascii="Times New Roman" w:hAnsi="Times New Roman"/>
          <w:szCs w:val="21"/>
        </w:rPr>
      </w:pPr>
      <w:bookmarkStart w:id="2" w:name="_Hlk207631156"/>
      <w:r>
        <w:rPr>
          <w:rFonts w:hint="eastAsia" w:ascii="Times New Roman" w:hAnsi="Times New Roman"/>
          <w:szCs w:val="21"/>
        </w:rPr>
        <w:t>基于可能存在的生殖毒性风险，欧盟将甲基吡咯烷酮收录于《欧盟化妆品法规（EC）No 1223/2009》附</w:t>
      </w:r>
      <w:bookmarkStart w:id="3" w:name="OLE_LINK1"/>
      <w:r>
        <w:rPr>
          <w:rFonts w:hint="eastAsia" w:ascii="Times New Roman" w:hAnsi="Times New Roman"/>
          <w:szCs w:val="21"/>
        </w:rPr>
        <w:t>录</w:t>
      </w:r>
      <w:bookmarkEnd w:id="3"/>
      <w:r>
        <w:rPr>
          <w:rFonts w:ascii="Times New Roman" w:hAnsi="Times New Roman"/>
          <w:szCs w:val="21"/>
        </w:rPr>
        <w:t>Ⅱ</w:t>
      </w:r>
      <w:r>
        <w:rPr>
          <w:rFonts w:hint="eastAsia" w:ascii="Times New Roman" w:hAnsi="Times New Roman"/>
          <w:szCs w:val="21"/>
        </w:rPr>
        <w:t>（化妆品禁止使用的物质清单</w:t>
      </w:r>
      <w:bookmarkEnd w:id="2"/>
      <w:r>
        <w:rPr>
          <w:rFonts w:hint="eastAsia" w:ascii="Times New Roman" w:hAnsi="Times New Roman"/>
          <w:szCs w:val="21"/>
        </w:rPr>
        <w:t>）。</w:t>
      </w:r>
      <w:r>
        <w:rPr>
          <w:rFonts w:hint="eastAsia" w:ascii="Times New Roman" w:hAnsi="Times New Roman"/>
          <w:szCs w:val="21"/>
          <w:lang w:val="en-US" w:eastAsia="zh-CN"/>
        </w:rPr>
        <w:t>东盟</w:t>
      </w:r>
      <w:r>
        <w:rPr>
          <w:rFonts w:hint="eastAsia" w:ascii="Times New Roman" w:hAnsi="Times New Roman"/>
          <w:szCs w:val="21"/>
        </w:rPr>
        <w:t>也禁止甲基吡咯烷酮用于化妆品。</w:t>
      </w:r>
    </w:p>
    <w:p w14:paraId="0FBEEF9A">
      <w:pPr>
        <w:pStyle w:val="12"/>
        <w:numPr>
          <w:ilvl w:val="0"/>
          <w:numId w:val="1"/>
        </w:numPr>
        <w:spacing w:before="156" w:beforeLines="50" w:after="156" w:afterLines="50" w:line="300" w:lineRule="auto"/>
        <w:ind w:firstLineChars="0"/>
        <w:rPr>
          <w:rFonts w:hint="eastAsia" w:ascii="Times New Roman" w:hAnsi="Times New Roman" w:eastAsia="黑体"/>
          <w:szCs w:val="21"/>
        </w:rPr>
      </w:pPr>
      <w:r>
        <w:rPr>
          <w:rFonts w:hint="eastAsia" w:ascii="Times New Roman" w:hAnsi="Times New Roman" w:eastAsia="黑体"/>
          <w:szCs w:val="21"/>
        </w:rPr>
        <w:t>与我国已有标准的关系</w:t>
      </w:r>
    </w:p>
    <w:p w14:paraId="4AAF8878">
      <w:pPr>
        <w:spacing w:line="300" w:lineRule="auto"/>
        <w:ind w:firstLine="420" w:firstLineChars="200"/>
        <w:rPr>
          <w:rFonts w:ascii="Times New Roman" w:hAnsi="Times New Roman"/>
          <w:szCs w:val="21"/>
        </w:rPr>
      </w:pPr>
      <w:r>
        <w:rPr>
          <w:rFonts w:hint="eastAsia" w:ascii="Times New Roman" w:hAnsi="Times New Roman"/>
          <w:szCs w:val="21"/>
        </w:rPr>
        <w:t>甲基吡咯烷酮收录于《已使用化妆品原料目录》。本次修订拟将甲基吡咯烷酮列入</w:t>
      </w:r>
      <w:r>
        <w:rPr>
          <w:rFonts w:hint="eastAsia" w:ascii="Times New Roman" w:hAnsi="Times New Roman"/>
          <w:szCs w:val="21"/>
        </w:rPr>
        <w:t>《化妆品安全技术规范》</w:t>
      </w:r>
      <w:r>
        <w:rPr>
          <w:rFonts w:hint="eastAsia" w:ascii="Times New Roman" w:hAnsi="Times New Roman"/>
          <w:szCs w:val="21"/>
          <w:lang w:val="en-US" w:eastAsia="zh-CN"/>
        </w:rPr>
        <w:t>化妆品禁用原料目录</w:t>
      </w:r>
      <w:r>
        <w:rPr>
          <w:rFonts w:hint="eastAsia" w:ascii="Times New Roman" w:hAnsi="Times New Roman"/>
          <w:szCs w:val="21"/>
        </w:rPr>
        <w:t>（表</w:t>
      </w:r>
      <w:r>
        <w:rPr>
          <w:rFonts w:hint="eastAsia" w:ascii="Times New Roman" w:hAnsi="Times New Roman"/>
          <w:szCs w:val="21"/>
          <w:lang w:val="en-US" w:eastAsia="zh-CN"/>
        </w:rPr>
        <w:t>1</w:t>
      </w:r>
      <w:r>
        <w:rPr>
          <w:rFonts w:hint="eastAsia" w:ascii="Times New Roman" w:hAnsi="Times New Roman"/>
          <w:szCs w:val="21"/>
        </w:rPr>
        <w:t>）</w:t>
      </w:r>
      <w:bookmarkStart w:id="6" w:name="_GoBack"/>
      <w:bookmarkEnd w:id="6"/>
      <w:r>
        <w:rPr>
          <w:rFonts w:hint="eastAsia" w:ascii="Times New Roman" w:hAnsi="Times New Roman"/>
          <w:szCs w:val="21"/>
        </w:rPr>
        <w:t>。调整后，与欧盟和</w:t>
      </w:r>
      <w:bookmarkStart w:id="4" w:name="_Hlk207630156"/>
      <w:r>
        <w:rPr>
          <w:rFonts w:hint="eastAsia" w:ascii="Times New Roman" w:hAnsi="Times New Roman"/>
          <w:szCs w:val="21"/>
          <w:lang w:val="en-US" w:eastAsia="zh-CN"/>
        </w:rPr>
        <w:t>东盟</w:t>
      </w:r>
      <w:r>
        <w:rPr>
          <w:rFonts w:hint="eastAsia" w:ascii="Times New Roman" w:hAnsi="Times New Roman"/>
          <w:szCs w:val="21"/>
        </w:rPr>
        <w:t>的</w:t>
      </w:r>
      <w:bookmarkStart w:id="5" w:name="_Hlk207630018"/>
      <w:r>
        <w:rPr>
          <w:rFonts w:hint="eastAsia" w:ascii="Times New Roman" w:hAnsi="Times New Roman"/>
          <w:szCs w:val="21"/>
        </w:rPr>
        <w:t>相关规定</w:t>
      </w:r>
      <w:bookmarkEnd w:id="4"/>
      <w:bookmarkEnd w:id="5"/>
      <w:r>
        <w:rPr>
          <w:rFonts w:hint="eastAsia" w:ascii="Times New Roman" w:hAnsi="Times New Roman"/>
          <w:szCs w:val="21"/>
        </w:rPr>
        <w:t>一致。</w:t>
      </w:r>
    </w:p>
    <w:p w14:paraId="3813CF81">
      <w:pPr>
        <w:pStyle w:val="12"/>
        <w:numPr>
          <w:ilvl w:val="0"/>
          <w:numId w:val="1"/>
        </w:numPr>
        <w:spacing w:before="156" w:beforeLines="50" w:after="156" w:afterLines="50" w:line="300" w:lineRule="auto"/>
        <w:ind w:firstLineChars="0"/>
        <w:rPr>
          <w:rFonts w:hint="eastAsia" w:ascii="Times New Roman" w:hAnsi="Times New Roman" w:eastAsia="黑体"/>
          <w:szCs w:val="21"/>
        </w:rPr>
      </w:pPr>
      <w:r>
        <w:rPr>
          <w:rFonts w:hint="eastAsia" w:ascii="Times New Roman" w:hAnsi="Times New Roman" w:eastAsia="黑体"/>
          <w:szCs w:val="21"/>
        </w:rPr>
        <w:t>其他需要说明的问题</w:t>
      </w:r>
    </w:p>
    <w:p w14:paraId="26A9A5D3">
      <w:pPr>
        <w:spacing w:line="300" w:lineRule="auto"/>
        <w:ind w:firstLine="420" w:firstLineChars="200"/>
        <w:rPr>
          <w:rFonts w:ascii="Times New Roman" w:hAnsi="Times New Roman"/>
          <w:szCs w:val="21"/>
        </w:rPr>
      </w:pPr>
      <w:r>
        <w:rPr>
          <w:rFonts w:hint="eastAsia" w:ascii="Times New Roman" w:hAnsi="Times New Roman"/>
          <w:szCs w:val="21"/>
        </w:rPr>
        <w:t>无。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271B88A-5AC8-4785-B4C0-BF6A967804E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2" w:fontKey="{49FA71D9-7726-4373-8953-DE8BCDE7E0F4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B84CF1C1-9F03-46BE-A2F5-132100690502}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871192316"/>
      <w:docPartObj>
        <w:docPartGallery w:val="autotext"/>
      </w:docPartObj>
    </w:sdtPr>
    <w:sdtContent>
      <w:p w14:paraId="5662C047"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01B909F0"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07D0B68"/>
    <w:multiLevelType w:val="multilevel"/>
    <w:tmpl w:val="507D0B68"/>
    <w:lvl w:ilvl="0" w:tentative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248"/>
    <w:rsid w:val="000104FE"/>
    <w:rsid w:val="00017E48"/>
    <w:rsid w:val="00041361"/>
    <w:rsid w:val="00082020"/>
    <w:rsid w:val="00094B85"/>
    <w:rsid w:val="000C3290"/>
    <w:rsid w:val="000D3E6A"/>
    <w:rsid w:val="001238AC"/>
    <w:rsid w:val="001538FF"/>
    <w:rsid w:val="00163440"/>
    <w:rsid w:val="001733E9"/>
    <w:rsid w:val="0019489E"/>
    <w:rsid w:val="001E17D3"/>
    <w:rsid w:val="00212CDD"/>
    <w:rsid w:val="0023340B"/>
    <w:rsid w:val="002531F3"/>
    <w:rsid w:val="002541F6"/>
    <w:rsid w:val="00271159"/>
    <w:rsid w:val="002840D2"/>
    <w:rsid w:val="002C61FB"/>
    <w:rsid w:val="002F7054"/>
    <w:rsid w:val="00302754"/>
    <w:rsid w:val="003446F9"/>
    <w:rsid w:val="0035072D"/>
    <w:rsid w:val="003F5FCA"/>
    <w:rsid w:val="00455503"/>
    <w:rsid w:val="00457B40"/>
    <w:rsid w:val="00483C68"/>
    <w:rsid w:val="00492DF7"/>
    <w:rsid w:val="004B75CC"/>
    <w:rsid w:val="004C13A6"/>
    <w:rsid w:val="004D72F4"/>
    <w:rsid w:val="004E2DE1"/>
    <w:rsid w:val="004F0AF8"/>
    <w:rsid w:val="00536E7B"/>
    <w:rsid w:val="0058230E"/>
    <w:rsid w:val="00594D35"/>
    <w:rsid w:val="00595FF1"/>
    <w:rsid w:val="00597BC2"/>
    <w:rsid w:val="005C6016"/>
    <w:rsid w:val="005D58B5"/>
    <w:rsid w:val="005F3533"/>
    <w:rsid w:val="00610184"/>
    <w:rsid w:val="00626C5E"/>
    <w:rsid w:val="0062737A"/>
    <w:rsid w:val="00640742"/>
    <w:rsid w:val="006878AA"/>
    <w:rsid w:val="00695545"/>
    <w:rsid w:val="006A12D5"/>
    <w:rsid w:val="006C0F22"/>
    <w:rsid w:val="006C7CFA"/>
    <w:rsid w:val="006C7E5F"/>
    <w:rsid w:val="006D6717"/>
    <w:rsid w:val="006D786E"/>
    <w:rsid w:val="006E11A6"/>
    <w:rsid w:val="00700CF3"/>
    <w:rsid w:val="00743839"/>
    <w:rsid w:val="00754B68"/>
    <w:rsid w:val="00755B19"/>
    <w:rsid w:val="00782629"/>
    <w:rsid w:val="0078328D"/>
    <w:rsid w:val="00786607"/>
    <w:rsid w:val="00787971"/>
    <w:rsid w:val="007B0FC3"/>
    <w:rsid w:val="007C2A05"/>
    <w:rsid w:val="007E26D3"/>
    <w:rsid w:val="00850D16"/>
    <w:rsid w:val="00851408"/>
    <w:rsid w:val="008C79D4"/>
    <w:rsid w:val="008C7F73"/>
    <w:rsid w:val="008F04CD"/>
    <w:rsid w:val="00923BAB"/>
    <w:rsid w:val="00934946"/>
    <w:rsid w:val="00943A50"/>
    <w:rsid w:val="00971523"/>
    <w:rsid w:val="00971761"/>
    <w:rsid w:val="00973CCA"/>
    <w:rsid w:val="009A0E50"/>
    <w:rsid w:val="009D5D1B"/>
    <w:rsid w:val="009E74E3"/>
    <w:rsid w:val="00A13460"/>
    <w:rsid w:val="00A15C0D"/>
    <w:rsid w:val="00A55369"/>
    <w:rsid w:val="00AE2CD5"/>
    <w:rsid w:val="00AE2D55"/>
    <w:rsid w:val="00B04C72"/>
    <w:rsid w:val="00B079AA"/>
    <w:rsid w:val="00B12380"/>
    <w:rsid w:val="00B1264F"/>
    <w:rsid w:val="00B31106"/>
    <w:rsid w:val="00B4794C"/>
    <w:rsid w:val="00B60A53"/>
    <w:rsid w:val="00B9170A"/>
    <w:rsid w:val="00BC028D"/>
    <w:rsid w:val="00BD0898"/>
    <w:rsid w:val="00C4775D"/>
    <w:rsid w:val="00C90327"/>
    <w:rsid w:val="00CB361B"/>
    <w:rsid w:val="00CB4E76"/>
    <w:rsid w:val="00D02E25"/>
    <w:rsid w:val="00D26D65"/>
    <w:rsid w:val="00D50897"/>
    <w:rsid w:val="00D529E9"/>
    <w:rsid w:val="00D65D0A"/>
    <w:rsid w:val="00D70A10"/>
    <w:rsid w:val="00D9266C"/>
    <w:rsid w:val="00DF3C15"/>
    <w:rsid w:val="00E03DE6"/>
    <w:rsid w:val="00E26248"/>
    <w:rsid w:val="00E47A69"/>
    <w:rsid w:val="00E50261"/>
    <w:rsid w:val="00E56CF2"/>
    <w:rsid w:val="00E671DC"/>
    <w:rsid w:val="00E71C55"/>
    <w:rsid w:val="00F42969"/>
    <w:rsid w:val="00F515BD"/>
    <w:rsid w:val="00F51601"/>
    <w:rsid w:val="00F81B0D"/>
    <w:rsid w:val="00F83B82"/>
    <w:rsid w:val="00F86206"/>
    <w:rsid w:val="00F93ACB"/>
    <w:rsid w:val="00FD16F0"/>
    <w:rsid w:val="013A3FC1"/>
    <w:rsid w:val="018A2C69"/>
    <w:rsid w:val="0F0452CB"/>
    <w:rsid w:val="25280B87"/>
    <w:rsid w:val="2B706559"/>
    <w:rsid w:val="2EF60305"/>
    <w:rsid w:val="34AF7BFE"/>
    <w:rsid w:val="37F81C64"/>
    <w:rsid w:val="40AF62EF"/>
    <w:rsid w:val="44025B5C"/>
    <w:rsid w:val="45BA084B"/>
    <w:rsid w:val="4B5A3FF3"/>
    <w:rsid w:val="4E9B384C"/>
    <w:rsid w:val="4FAB0BC3"/>
    <w:rsid w:val="51270797"/>
    <w:rsid w:val="52561AAA"/>
    <w:rsid w:val="582A4BC8"/>
    <w:rsid w:val="5B5C08B4"/>
    <w:rsid w:val="603718EF"/>
    <w:rsid w:val="73A570DB"/>
    <w:rsid w:val="78E24473"/>
    <w:rsid w:val="7CEB3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semiHidden/>
    <w:unhideWhenUsed/>
    <w:qFormat/>
    <w:uiPriority w:val="99"/>
    <w:pPr>
      <w:jc w:val="left"/>
    </w:p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annotation subject"/>
    <w:basedOn w:val="2"/>
    <w:next w:val="2"/>
    <w:link w:val="15"/>
    <w:semiHidden/>
    <w:unhideWhenUsed/>
    <w:qFormat/>
    <w:uiPriority w:val="99"/>
    <w:rPr>
      <w:b/>
      <w:bCs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0">
    <w:name w:val="页眉 字符"/>
    <w:basedOn w:val="8"/>
    <w:link w:val="4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1">
    <w:name w:val="页脚 字符"/>
    <w:basedOn w:val="8"/>
    <w:link w:val="3"/>
    <w:qFormat/>
    <w:uiPriority w:val="99"/>
    <w:rPr>
      <w:rFonts w:ascii="Calibri" w:hAnsi="Calibri" w:eastAsia="宋体" w:cs="Times New Roman"/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paragraph" w:customStyle="1" w:styleId="13">
    <w:name w:val="修订1"/>
    <w:hidden/>
    <w:semiHidden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14">
    <w:name w:val="批注文字 字符"/>
    <w:basedOn w:val="8"/>
    <w:link w:val="2"/>
    <w:semiHidden/>
    <w:qFormat/>
    <w:uiPriority w:val="99"/>
    <w:rPr>
      <w:rFonts w:ascii="Calibri" w:hAnsi="Calibri" w:eastAsia="宋体" w:cs="Times New Roman"/>
    </w:rPr>
  </w:style>
  <w:style w:type="character" w:customStyle="1" w:styleId="15">
    <w:name w:val="批注主题 字符"/>
    <w:basedOn w:val="14"/>
    <w:link w:val="5"/>
    <w:semiHidden/>
    <w:qFormat/>
    <w:uiPriority w:val="99"/>
    <w:rPr>
      <w:rFonts w:ascii="Calibri" w:hAnsi="Calibri" w:eastAsia="宋体" w:cs="Times New Roman"/>
      <w:b/>
      <w:bCs/>
    </w:rPr>
  </w:style>
  <w:style w:type="paragraph" w:customStyle="1" w:styleId="16">
    <w:name w:val="Revision"/>
    <w:hidden/>
    <w:unhideWhenUsed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F0537D-6E03-4B9F-B445-BDE27DB37ED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81</Words>
  <Characters>134</Characters>
  <Lines>6</Lines>
  <Paragraphs>1</Paragraphs>
  <TotalTime>0</TotalTime>
  <ScaleCrop>false</ScaleCrop>
  <LinksUpToDate>false</LinksUpToDate>
  <CharactersWithSpaces>138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2025-09-02T07:40:00Z</dcterms:created>
  <dc:creator>裴新荣</dc:creator>
  <cp:lastModifiedBy>黄湘鹭</cp:lastModifiedBy>
  <cp:lastPrinted>2025-09-04T05:09:00Z</cp:lastPrinted>
  <dcterms:modified xsi:type="dcterms:W3CDTF">2026-08-04T02:16:28Z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eyJoZGlkIjoiMzc5ZTU2MThkNmRiZDhiYTk2MzdjZDYxYTYzNzRmY2MiLCJ1c2VySWQiOiI0MDU1NDk1NzYifQ==</vt:lpwstr>
  </property>
  <property fmtid="{D5CDD505-2E9C-101B-9397-08002B2CF9AE}" pid="3" name="KSOProductBuildVer">
    <vt:lpwstr>2052-12.1.0.28043</vt:lpwstr>
  </property>
  <property fmtid="{D5CDD505-2E9C-101B-9397-08002B2CF9AE}" pid="4" name="ICV">
    <vt:lpwstr>ABB01A0331534AA5B30ED7DFE538C553_13</vt:lpwstr>
  </property>
</Properties>
</file>