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92DC46">
      <w:pPr>
        <w:spacing w:before="156" w:beforeLines="50" w:after="156" w:afterLines="50" w:line="300" w:lineRule="auto"/>
        <w:rPr>
          <w:rFonts w:hint="eastAsia" w:ascii="黑体" w:hAnsi="黑体" w:eastAsia="黑体"/>
          <w:sz w:val="32"/>
          <w:szCs w:val="32"/>
          <w:lang w:val="en-US" w:eastAsia="zh-CN"/>
        </w:rPr>
      </w:pPr>
      <w:bookmarkStart w:id="0" w:name="_Toc214370611"/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5</w:t>
      </w:r>
    </w:p>
    <w:p w14:paraId="4C26DB40">
      <w:pPr>
        <w:widowControl/>
        <w:tabs>
          <w:tab w:val="right" w:leader="dot" w:pos="8844"/>
        </w:tabs>
        <w:spacing w:line="720" w:lineRule="auto"/>
        <w:jc w:val="center"/>
        <w:rPr>
          <w:rFonts w:ascii="Times New Roman" w:hAnsi="Times New Roman" w:eastAsia="黑体"/>
          <w:kern w:val="0"/>
          <w:sz w:val="20"/>
          <w:szCs w:val="20"/>
        </w:rPr>
      </w:pPr>
      <w:r>
        <w:rPr>
          <w:rFonts w:hint="eastAsia" w:ascii="Times New Roman" w:hAnsi="Times New Roman" w:eastAsia="黑体"/>
          <w:kern w:val="0"/>
          <w:sz w:val="32"/>
          <w:szCs w:val="32"/>
          <w:lang w:val="en-US" w:eastAsia="zh-CN"/>
        </w:rPr>
        <w:t>游离甲醛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（</w:t>
      </w:r>
      <w:r>
        <w:rPr>
          <w:rFonts w:hint="eastAsia" w:ascii="Times New Roman" w:hAnsi="Times New Roman" w:eastAsia="黑体"/>
          <w:kern w:val="0"/>
          <w:sz w:val="32"/>
          <w:szCs w:val="32"/>
          <w:lang w:val="en-US" w:eastAsia="zh-CN"/>
        </w:rPr>
        <w:t>征求意见稿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）</w:t>
      </w:r>
    </w:p>
    <w:tbl>
      <w:tblPr>
        <w:tblStyle w:val="7"/>
        <w:tblpPr w:leftFromText="180" w:rightFromText="180" w:vertAnchor="text" w:horzAnchor="page" w:tblpXSpec="center" w:tblpY="217"/>
        <w:tblOverlap w:val="never"/>
        <w:tblW w:w="5240" w:type="pct"/>
        <w:tblInd w:w="-2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125"/>
        <w:gridCol w:w="5979"/>
      </w:tblGrid>
      <w:tr w14:paraId="28EDA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61919D"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章节</w:t>
            </w:r>
          </w:p>
        </w:tc>
        <w:tc>
          <w:tcPr>
            <w:tcW w:w="64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5D9E6D"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序号</w:t>
            </w:r>
          </w:p>
        </w:tc>
        <w:tc>
          <w:tcPr>
            <w:tcW w:w="343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56BE836">
            <w:pPr>
              <w:jc w:val="center"/>
              <w:rPr>
                <w:rFonts w:hint="eastAsia" w:ascii="Times New Roman" w:hAnsi="Times New Roman" w:eastAsia="黑体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/>
                <w:szCs w:val="21"/>
                <w:lang w:val="en-US" w:eastAsia="zh-CN"/>
              </w:rPr>
              <w:t>内容</w:t>
            </w:r>
          </w:p>
        </w:tc>
      </w:tr>
      <w:tr w14:paraId="71049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62E663">
            <w:pPr>
              <w:spacing w:line="560" w:lineRule="exact"/>
              <w:jc w:val="center"/>
              <w:rPr>
                <w:rFonts w:ascii="Times New Roman" w:hAnsi="Times New Roman" w:cs="宋体"/>
                <w:b/>
                <w:bCs/>
                <w:color w:val="000000"/>
                <w:sz w:val="24"/>
              </w:rPr>
            </w:pPr>
          </w:p>
        </w:tc>
        <w:tc>
          <w:tcPr>
            <w:tcW w:w="6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8D86D6">
            <w:pPr>
              <w:spacing w:line="560" w:lineRule="exact"/>
              <w:jc w:val="center"/>
              <w:rPr>
                <w:rFonts w:ascii="Times New Roman" w:hAnsi="Times New Roman" w:cs="宋体"/>
                <w:b/>
                <w:bCs/>
                <w:color w:val="000000"/>
                <w:sz w:val="24"/>
              </w:rPr>
            </w:pPr>
          </w:p>
        </w:tc>
        <w:tc>
          <w:tcPr>
            <w:tcW w:w="343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3B1DE9">
            <w:pPr>
              <w:spacing w:line="560" w:lineRule="exact"/>
              <w:jc w:val="center"/>
              <w:rPr>
                <w:rFonts w:ascii="Times New Roman" w:hAnsi="Times New Roman" w:cs="宋体"/>
                <w:b/>
                <w:bCs/>
                <w:color w:val="000000"/>
                <w:sz w:val="24"/>
              </w:rPr>
            </w:pPr>
          </w:p>
        </w:tc>
      </w:tr>
      <w:tr w14:paraId="014AF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9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4583D6">
            <w:pPr>
              <w:jc w:val="center"/>
              <w:rPr>
                <w:rFonts w:ascii="Times New Roman" w:hAnsi="Times New Roman" w:eastAsiaTheme="minorEastAsia"/>
                <w:color w:val="000000"/>
                <w:szCs w:val="21"/>
              </w:rPr>
            </w:pPr>
            <w:r>
              <w:rPr>
                <w:rFonts w:hint="eastAsia" w:ascii="Times New Roman" w:hAnsi="Times New Roman" w:eastAsiaTheme="minorEastAsia"/>
                <w:color w:val="000000"/>
                <w:szCs w:val="21"/>
              </w:rPr>
              <w:t>第三章</w:t>
            </w:r>
            <w:r>
              <w:rPr>
                <w:rFonts w:hint="eastAsia" w:ascii="Times New Roman" w:hAnsi="Times New Roman" w:eastAsiaTheme="minorEastAsia"/>
                <w:color w:val="000000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化妆品准用防腐剂（表4）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92EDD">
            <w:pPr>
              <w:jc w:val="center"/>
              <w:rPr>
                <w:rFonts w:hint="default" w:ascii="Times New Roman" w:hAnsi="Times New Roman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注（1）d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3D5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宋体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所有含本表中所列含可释放甲醛物质的化妆品，当成品中甲醛浓度超过 0.001%（以游离甲醛计）时，都必须在产品标签上标印“释放甲醛”，且不得用于可能具有吸入风险的产品。</w:t>
            </w:r>
          </w:p>
        </w:tc>
      </w:tr>
    </w:tbl>
    <w:p w14:paraId="11F1625B">
      <w:pPr>
        <w:widowControl/>
        <w:jc w:val="left"/>
        <w:rPr>
          <w:rFonts w:ascii="Times New Roman" w:hAnsi="Times New Roman" w:eastAsia="方正小标宋简体"/>
          <w:sz w:val="48"/>
          <w:szCs w:val="48"/>
        </w:rPr>
      </w:pPr>
    </w:p>
    <w:p w14:paraId="460279CD">
      <w:pPr>
        <w:rPr>
          <w:rFonts w:hint="eastAsia" w:ascii="Times New Roman" w:hAnsi="Times New Roman" w:eastAsia="黑体"/>
          <w:b w:val="0"/>
          <w:bCs w:val="0"/>
          <w:sz w:val="32"/>
          <w:szCs w:val="32"/>
        </w:rPr>
      </w:pPr>
    </w:p>
    <w:p w14:paraId="6F64C46E">
      <w:pPr>
        <w:pStyle w:val="2"/>
        <w:spacing w:before="156" w:beforeLines="50" w:after="156" w:afterLines="50" w:line="300" w:lineRule="auto"/>
        <w:jc w:val="center"/>
        <w:rPr>
          <w:rFonts w:hint="eastAsia" w:ascii="Times New Roman" w:hAnsi="Times New Roman" w:eastAsia="黑体"/>
          <w:b w:val="0"/>
          <w:bCs w:val="0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CC2185D">
      <w:pPr>
        <w:widowControl/>
        <w:tabs>
          <w:tab w:val="right" w:leader="dot" w:pos="8844"/>
        </w:tabs>
        <w:spacing w:line="720" w:lineRule="auto"/>
        <w:jc w:val="center"/>
        <w:rPr>
          <w:rFonts w:ascii="Times New Roman" w:hAnsi="Times New Roman" w:eastAsia="黑体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/>
          <w:kern w:val="0"/>
          <w:sz w:val="32"/>
          <w:szCs w:val="32"/>
          <w:lang w:val="en-US" w:eastAsia="zh-CN"/>
        </w:rPr>
        <w:t>游离甲醛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（</w:t>
      </w:r>
      <w:r>
        <w:rPr>
          <w:rFonts w:hint="eastAsia" w:ascii="Times New Roman" w:hAnsi="Times New Roman" w:eastAsia="黑体"/>
          <w:kern w:val="0"/>
          <w:sz w:val="32"/>
          <w:szCs w:val="32"/>
          <w:lang w:val="en-US" w:eastAsia="zh-CN"/>
        </w:rPr>
        <w:t>征求意见稿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）</w:t>
      </w:r>
      <w:r>
        <w:rPr>
          <w:rFonts w:hint="eastAsia" w:ascii="Times New Roman" w:hAnsi="Times New Roman" w:eastAsia="黑体"/>
          <w:b w:val="0"/>
          <w:bCs w:val="0"/>
          <w:sz w:val="32"/>
          <w:szCs w:val="32"/>
        </w:rPr>
        <w:t>起草说明</w:t>
      </w:r>
      <w:bookmarkEnd w:id="0"/>
    </w:p>
    <w:p w14:paraId="7D2D81D9">
      <w:pPr>
        <w:spacing w:line="300" w:lineRule="auto"/>
        <w:ind w:firstLine="420" w:firstLineChars="200"/>
        <w:rPr>
          <w:rFonts w:ascii="Times New Roman" w:hAnsi="Times New Roman"/>
          <w:szCs w:val="21"/>
        </w:rPr>
      </w:pPr>
      <w:bookmarkStart w:id="1" w:name="_Hlk207630645"/>
      <w:r>
        <w:rPr>
          <w:rFonts w:hint="eastAsia" w:ascii="Times New Roman" w:hAnsi="Times New Roman"/>
          <w:szCs w:val="21"/>
        </w:rPr>
        <w:t>为加强化妆品的监督管理，进一步提升化妆品使用安全性，国家药监局化妆品标准化技术委员会组织开展了《</w:t>
      </w:r>
      <w:r>
        <w:rPr>
          <w:rFonts w:hint="eastAsia" w:ascii="Times New Roman" w:hAnsi="Times New Roman"/>
          <w:szCs w:val="21"/>
          <w:lang w:val="en-US" w:eastAsia="zh-CN"/>
        </w:rPr>
        <w:t>游离甲醛</w:t>
      </w:r>
      <w:bookmarkStart w:id="7" w:name="_GoBack"/>
      <w:bookmarkEnd w:id="7"/>
      <w:r>
        <w:rPr>
          <w:rFonts w:hint="eastAsia" w:ascii="Times New Roman" w:hAnsi="Times New Roman"/>
          <w:szCs w:val="21"/>
        </w:rPr>
        <w:t>》的修订工作。现将有关情况说明如下：</w:t>
      </w:r>
    </w:p>
    <w:bookmarkEnd w:id="1"/>
    <w:p w14:paraId="55DB53DF">
      <w:pPr>
        <w:pStyle w:val="14"/>
        <w:numPr>
          <w:ilvl w:val="0"/>
          <w:numId w:val="1"/>
        </w:numPr>
        <w:spacing w:before="156" w:beforeLines="50" w:after="156" w:afterLines="50" w:line="300" w:lineRule="auto"/>
        <w:ind w:firstLineChars="0"/>
        <w:rPr>
          <w:rFonts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</w:rPr>
        <w:t>概述</w:t>
      </w:r>
    </w:p>
    <w:p w14:paraId="5A2D7D88">
      <w:pPr>
        <w:spacing w:line="300" w:lineRule="auto"/>
        <w:ind w:firstLine="420" w:firstLineChars="200"/>
        <w:rPr>
          <w:rFonts w:hint="default" w:ascii="Times New Roman" w:hAnsi="Times New Roman" w:eastAsia="宋体"/>
          <w:szCs w:val="21"/>
          <w:lang w:val="en-US" w:eastAsia="zh-CN"/>
        </w:rPr>
      </w:pPr>
      <w:r>
        <w:rPr>
          <w:rFonts w:hint="eastAsia" w:ascii="Times New Roman" w:hAnsi="Times New Roman"/>
          <w:szCs w:val="21"/>
          <w:lang w:val="en-US" w:eastAsia="zh-CN"/>
        </w:rPr>
        <w:t>甲醛</w:t>
      </w:r>
      <w:r>
        <w:rPr>
          <w:rFonts w:hint="eastAsia" w:ascii="Times New Roman" w:hAnsi="Times New Roman"/>
          <w:szCs w:val="21"/>
        </w:rPr>
        <w:t>，INCI名称为FORMALDEHYDE，CAS号为</w:t>
      </w:r>
      <w:r>
        <w:rPr>
          <w:rFonts w:hint="eastAsia" w:ascii="Times New Roman" w:hAnsi="Times New Roman"/>
          <w:szCs w:val="21"/>
          <w:lang w:val="en-US" w:eastAsia="zh-CN"/>
        </w:rPr>
        <w:t>50</w:t>
      </w:r>
      <w:r>
        <w:rPr>
          <w:rFonts w:hint="eastAsia" w:ascii="Times New Roman" w:hAnsi="Times New Roman"/>
          <w:szCs w:val="21"/>
        </w:rPr>
        <w:t>-</w:t>
      </w:r>
      <w:r>
        <w:rPr>
          <w:rFonts w:hint="eastAsia" w:ascii="Times New Roman" w:hAnsi="Times New Roman"/>
          <w:szCs w:val="21"/>
          <w:lang w:val="en-US" w:eastAsia="zh-CN"/>
        </w:rPr>
        <w:t>00</w:t>
      </w:r>
      <w:r>
        <w:rPr>
          <w:rFonts w:hint="eastAsia" w:ascii="Times New Roman" w:hAnsi="Times New Roman"/>
          <w:szCs w:val="21"/>
        </w:rPr>
        <w:t>-</w:t>
      </w:r>
      <w:r>
        <w:rPr>
          <w:rFonts w:hint="eastAsia" w:ascii="Times New Roman" w:hAnsi="Times New Roman"/>
          <w:szCs w:val="21"/>
          <w:lang w:val="en-US" w:eastAsia="zh-CN"/>
        </w:rPr>
        <w:t>0</w:t>
      </w:r>
      <w:r>
        <w:rPr>
          <w:rFonts w:hint="eastAsia" w:ascii="Times New Roman" w:hAnsi="Times New Roman"/>
          <w:szCs w:val="21"/>
        </w:rPr>
        <w:t>，《化妆品安全技术规范》规定其</w:t>
      </w:r>
      <w:r>
        <w:rPr>
          <w:rFonts w:hint="eastAsia" w:ascii="Times New Roman" w:hAnsi="Times New Roman"/>
          <w:szCs w:val="21"/>
          <w:lang w:val="en-US" w:eastAsia="zh-CN"/>
        </w:rPr>
        <w:t>为化妆品禁用物质</w:t>
      </w:r>
      <w:r>
        <w:rPr>
          <w:rFonts w:hint="eastAsia" w:ascii="Times New Roman" w:hAnsi="Times New Roman"/>
          <w:szCs w:val="21"/>
          <w:lang w:eastAsia="zh-CN"/>
        </w:rPr>
        <w:t>，</w:t>
      </w:r>
      <w:r>
        <w:rPr>
          <w:rFonts w:hint="eastAsia" w:ascii="Times New Roman" w:hAnsi="Times New Roman"/>
          <w:szCs w:val="21"/>
          <w:lang w:val="en-US" w:eastAsia="zh-CN"/>
        </w:rPr>
        <w:t xml:space="preserve">化妆品准用防腐剂（表4）注（1）d规定，所有含本表中所列含可释放甲醛物质的化妆品，当成品中甲醛浓度超过 0.05%（以游离甲醛计）时，都必须在产品标签上标印“含甲醛”，且禁用于喷雾产品。 </w:t>
      </w:r>
    </w:p>
    <w:p w14:paraId="1E35BD59">
      <w:pPr>
        <w:pStyle w:val="14"/>
        <w:numPr>
          <w:ilvl w:val="0"/>
          <w:numId w:val="1"/>
        </w:numPr>
        <w:spacing w:before="156" w:beforeLines="50" w:after="156" w:afterLines="50" w:line="300" w:lineRule="auto"/>
        <w:ind w:firstLineChars="0"/>
        <w:rPr>
          <w:rFonts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</w:rPr>
        <w:t>起草原则</w:t>
      </w:r>
    </w:p>
    <w:p w14:paraId="0EADCB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00" w:lineRule="auto"/>
        <w:ind w:firstLine="0" w:firstLineChars="0"/>
        <w:textAlignment w:val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（一）科学性原则</w:t>
      </w:r>
    </w:p>
    <w:p w14:paraId="3C5A96B6">
      <w:pPr>
        <w:spacing w:line="300" w:lineRule="auto"/>
        <w:ind w:firstLine="420" w:firstLineChars="200"/>
        <w:rPr>
          <w:rFonts w:ascii="Times New Roman" w:hAnsi="Times New Roman"/>
          <w:szCs w:val="21"/>
        </w:rPr>
      </w:pPr>
      <w:bookmarkStart w:id="2" w:name="_Hlk207803556"/>
      <w:r>
        <w:rPr>
          <w:rFonts w:hint="eastAsia" w:ascii="Times New Roman" w:hAnsi="Times New Roman"/>
          <w:szCs w:val="21"/>
        </w:rPr>
        <w:t>依据《化妆品安全评估技术导则（2021年版）》，参考欧盟消费者安全科学委员会（SCCS）等国际机构最新评估结论，以现有科学数据和相关信息为基础进行安全评估。</w:t>
      </w:r>
      <w:bookmarkEnd w:id="2"/>
    </w:p>
    <w:p w14:paraId="7A549C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00" w:lineRule="auto"/>
        <w:ind w:firstLine="0" w:firstLineChars="0"/>
        <w:textAlignment w:val="auto"/>
        <w:rPr>
          <w:rFonts w:hint="eastAsia"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（二）适用性原则</w:t>
      </w:r>
    </w:p>
    <w:p w14:paraId="1B0E93BF">
      <w:pPr>
        <w:spacing w:line="30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基于安全评估结论，综合考虑化妆品监管工作需求和行业实际，提出</w:t>
      </w:r>
      <w:r>
        <w:rPr>
          <w:rFonts w:ascii="Times New Roman" w:hAnsi="Times New Roman" w:eastAsia="宋体" w:cs="Times New Roman"/>
          <w:szCs w:val="21"/>
        </w:rPr>
        <w:t>标准</w:t>
      </w:r>
      <w:r>
        <w:rPr>
          <w:rFonts w:hint="eastAsia" w:ascii="Times New Roman" w:hAnsi="Times New Roman"/>
          <w:szCs w:val="21"/>
        </w:rPr>
        <w:t>修订建议。</w:t>
      </w:r>
    </w:p>
    <w:p w14:paraId="1946D5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00" w:lineRule="auto"/>
        <w:ind w:firstLine="0" w:firstLineChars="0"/>
        <w:textAlignment w:val="auto"/>
        <w:rPr>
          <w:rFonts w:hint="eastAsia"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（三）协调性原则</w:t>
      </w:r>
    </w:p>
    <w:p w14:paraId="4D6B75E2">
      <w:pPr>
        <w:spacing w:line="30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参考欧盟等国家或地区使用管理要求，确保修订后的协调一致性。</w:t>
      </w:r>
    </w:p>
    <w:p w14:paraId="2E963499">
      <w:pPr>
        <w:pStyle w:val="14"/>
        <w:numPr>
          <w:ilvl w:val="0"/>
          <w:numId w:val="1"/>
        </w:numPr>
        <w:spacing w:before="156" w:beforeLines="50" w:after="156" w:afterLines="50" w:line="300" w:lineRule="auto"/>
        <w:ind w:firstLineChars="0"/>
        <w:rPr>
          <w:rFonts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</w:rPr>
        <w:t>起草过程</w:t>
      </w:r>
    </w:p>
    <w:p w14:paraId="536C8EB9">
      <w:pPr>
        <w:spacing w:line="30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通过背景研究、资料文献整理及研究、安全评估、国内外监管政策调研、行业使用情况调研等</w:t>
      </w:r>
      <w:bookmarkStart w:id="3" w:name="_Hlk207630799"/>
      <w:r>
        <w:rPr>
          <w:rFonts w:hint="eastAsia" w:ascii="Times New Roman" w:hAnsi="Times New Roman"/>
          <w:szCs w:val="21"/>
        </w:rPr>
        <w:t>，</w:t>
      </w:r>
      <w:bookmarkStart w:id="4" w:name="_Hlk207631359"/>
      <w:r>
        <w:rPr>
          <w:rFonts w:hint="eastAsia" w:ascii="Times New Roman" w:hAnsi="Times New Roman"/>
          <w:szCs w:val="21"/>
        </w:rPr>
        <w:t>形成</w:t>
      </w:r>
      <w:bookmarkStart w:id="5" w:name="_Hlk207632377"/>
      <w:r>
        <w:rPr>
          <w:rFonts w:hint="eastAsia" w:ascii="Times New Roman" w:hAnsi="Times New Roman"/>
          <w:szCs w:val="21"/>
        </w:rPr>
        <w:t>《化妆品中</w:t>
      </w:r>
      <w:r>
        <w:rPr>
          <w:rFonts w:hint="eastAsia" w:ascii="Times New Roman" w:hAnsi="Times New Roman"/>
          <w:szCs w:val="21"/>
          <w:lang w:val="en-US" w:eastAsia="zh-CN"/>
        </w:rPr>
        <w:t>游离甲醛</w:t>
      </w:r>
      <w:r>
        <w:rPr>
          <w:rFonts w:hint="eastAsia" w:ascii="Times New Roman" w:hAnsi="Times New Roman"/>
          <w:szCs w:val="21"/>
        </w:rPr>
        <w:t>安全评估报告》，</w:t>
      </w:r>
      <w:bookmarkEnd w:id="5"/>
      <w:r>
        <w:rPr>
          <w:rFonts w:hint="eastAsia" w:ascii="Times New Roman" w:hAnsi="Times New Roman"/>
          <w:szCs w:val="21"/>
        </w:rPr>
        <w:t>提出</w:t>
      </w:r>
      <w:r>
        <w:rPr>
          <w:rFonts w:hint="eastAsia" w:ascii="Times New Roman" w:hAnsi="Times New Roman"/>
          <w:szCs w:val="21"/>
          <w:lang w:val="en-US" w:eastAsia="zh-CN"/>
        </w:rPr>
        <w:t>标准</w:t>
      </w:r>
      <w:r>
        <w:rPr>
          <w:rFonts w:hint="eastAsia" w:ascii="Times New Roman" w:hAnsi="Times New Roman"/>
          <w:szCs w:val="21"/>
        </w:rPr>
        <w:t>修订建议。</w:t>
      </w:r>
      <w:bookmarkEnd w:id="3"/>
      <w:bookmarkEnd w:id="4"/>
    </w:p>
    <w:p w14:paraId="06AC3171">
      <w:pPr>
        <w:pStyle w:val="14"/>
        <w:numPr>
          <w:ilvl w:val="0"/>
          <w:numId w:val="1"/>
        </w:numPr>
        <w:spacing w:before="156" w:beforeLines="50" w:after="156" w:afterLines="50" w:line="300" w:lineRule="auto"/>
        <w:ind w:firstLineChars="0"/>
        <w:rPr>
          <w:rFonts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</w:rPr>
        <w:t>与国际同类标准的关系</w:t>
      </w:r>
    </w:p>
    <w:p w14:paraId="16F1748D">
      <w:pPr>
        <w:spacing w:line="300" w:lineRule="auto"/>
        <w:ind w:firstLine="420" w:firstLineChars="200"/>
        <w:rPr>
          <w:rFonts w:hint="default" w:ascii="Times New Roman" w:hAnsi="Times New Roman" w:eastAsia="宋体"/>
          <w:szCs w:val="21"/>
          <w:lang w:val="en-US" w:eastAsia="zh-CN"/>
        </w:rPr>
      </w:pPr>
      <w:r>
        <w:rPr>
          <w:rFonts w:hint="eastAsia" w:ascii="Times New Roman" w:hAnsi="Times New Roman"/>
          <w:szCs w:val="21"/>
        </w:rPr>
        <w:t>基于潜在</w:t>
      </w:r>
      <w:r>
        <w:rPr>
          <w:rFonts w:hint="eastAsia" w:ascii="Times New Roman" w:hAnsi="Times New Roman"/>
          <w:szCs w:val="21"/>
          <w:lang w:val="en-US" w:eastAsia="zh-CN"/>
        </w:rPr>
        <w:t>致敏</w:t>
      </w:r>
      <w:r>
        <w:rPr>
          <w:rFonts w:hint="eastAsia" w:ascii="Times New Roman" w:hAnsi="Times New Roman"/>
          <w:szCs w:val="21"/>
        </w:rPr>
        <w:t>风险，</w:t>
      </w:r>
      <w:bookmarkStart w:id="6" w:name="_Hlk207632825"/>
      <w:r>
        <w:rPr>
          <w:rFonts w:hint="eastAsia" w:ascii="Times New Roman" w:hAnsi="Times New Roman"/>
          <w:szCs w:val="21"/>
        </w:rPr>
        <w:t>《欧盟化妆品法规（EC）No 1223/2009》附录</w:t>
      </w:r>
      <w:r>
        <w:rPr>
          <w:rFonts w:hint="eastAsia" w:ascii="Times New Roman" w:hAnsi="Times New Roman"/>
          <w:szCs w:val="21"/>
          <w:lang w:val="en-US" w:eastAsia="zh-CN"/>
        </w:rPr>
        <w:t>V</w:t>
      </w:r>
      <w:r>
        <w:rPr>
          <w:rFonts w:hint="eastAsia" w:ascii="Times New Roman" w:hAnsi="Times New Roman"/>
          <w:szCs w:val="21"/>
        </w:rPr>
        <w:t>（化妆品</w:t>
      </w:r>
      <w:r>
        <w:rPr>
          <w:rFonts w:hint="eastAsia" w:ascii="Times New Roman" w:hAnsi="Times New Roman"/>
          <w:szCs w:val="21"/>
          <w:lang w:val="en-US" w:eastAsia="zh-CN"/>
        </w:rPr>
        <w:t>准用防腐剂</w:t>
      </w:r>
      <w:r>
        <w:rPr>
          <w:rFonts w:hint="eastAsia" w:ascii="Times New Roman" w:hAnsi="Times New Roman"/>
          <w:szCs w:val="21"/>
        </w:rPr>
        <w:t>清单）</w:t>
      </w:r>
      <w:bookmarkEnd w:id="6"/>
      <w:r>
        <w:rPr>
          <w:rFonts w:hint="eastAsia" w:ascii="Times New Roman" w:hAnsi="Times New Roman"/>
          <w:szCs w:val="21"/>
          <w:lang w:val="en-US" w:eastAsia="zh-CN"/>
        </w:rPr>
        <w:t>规定，所有含有本附</w:t>
      </w:r>
      <w:r>
        <w:rPr>
          <w:rFonts w:hint="eastAsia" w:ascii="Times New Roman" w:hAnsi="Times New Roman"/>
          <w:szCs w:val="21"/>
        </w:rPr>
        <w:t>录</w:t>
      </w:r>
      <w:r>
        <w:rPr>
          <w:rFonts w:hint="eastAsia" w:ascii="Times New Roman" w:hAnsi="Times New Roman"/>
          <w:szCs w:val="21"/>
          <w:lang w:val="en-US" w:eastAsia="zh-CN"/>
        </w:rPr>
        <w:t>中所列出可释放甲醛物质的化妆品，无论成品含有一种还是多种可释放甲醛的物质，当成品中释放甲醛浓度超过0.001%（10 ppm）时，均应在产品标签上标印“释放甲醛”。</w:t>
      </w:r>
    </w:p>
    <w:p w14:paraId="4810F70D">
      <w:pPr>
        <w:pStyle w:val="14"/>
        <w:numPr>
          <w:ilvl w:val="0"/>
          <w:numId w:val="1"/>
        </w:numPr>
        <w:spacing w:before="156" w:beforeLines="50" w:after="156" w:afterLines="50" w:line="300" w:lineRule="auto"/>
        <w:ind w:firstLineChars="0"/>
        <w:rPr>
          <w:rFonts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</w:rPr>
        <w:t>与我国已有标准的关系</w:t>
      </w:r>
    </w:p>
    <w:p w14:paraId="4DE27F8B">
      <w:pPr>
        <w:spacing w:line="300" w:lineRule="auto"/>
        <w:ind w:firstLine="420" w:firstLineChars="20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>甲醛</w:t>
      </w:r>
      <w:r>
        <w:rPr>
          <w:rFonts w:hint="eastAsia" w:ascii="Times New Roman" w:hAnsi="Times New Roman"/>
          <w:szCs w:val="21"/>
        </w:rPr>
        <w:t>收录于《化妆品安全技术规范》</w:t>
      </w:r>
      <w:r>
        <w:rPr>
          <w:rFonts w:hint="eastAsia" w:ascii="Times New Roman" w:hAnsi="Times New Roman"/>
          <w:szCs w:val="21"/>
          <w:lang w:val="en-US" w:eastAsia="zh-CN"/>
        </w:rPr>
        <w:t>化妆品禁用原料目录</w:t>
      </w:r>
      <w:r>
        <w:rPr>
          <w:rFonts w:hint="eastAsia" w:ascii="Times New Roman" w:hAnsi="Times New Roman"/>
          <w:szCs w:val="21"/>
        </w:rPr>
        <w:t>（表</w:t>
      </w:r>
      <w:r>
        <w:rPr>
          <w:rFonts w:hint="eastAsia" w:ascii="Times New Roman" w:hAnsi="Times New Roman"/>
          <w:szCs w:val="21"/>
          <w:lang w:val="en-US" w:eastAsia="zh-CN"/>
        </w:rPr>
        <w:t>1</w:t>
      </w:r>
      <w:r>
        <w:rPr>
          <w:rFonts w:hint="eastAsia" w:ascii="Times New Roman" w:hAnsi="Times New Roman"/>
          <w:szCs w:val="21"/>
        </w:rPr>
        <w:t>）</w:t>
      </w:r>
      <w:r>
        <w:rPr>
          <w:rFonts w:hint="eastAsia" w:ascii="Times New Roman" w:hAnsi="Times New Roman"/>
          <w:szCs w:val="21"/>
          <w:lang w:eastAsia="zh-CN"/>
        </w:rPr>
        <w:t>，</w:t>
      </w:r>
      <w:r>
        <w:rPr>
          <w:rFonts w:hint="eastAsia" w:ascii="Times New Roman" w:hAnsi="Times New Roman"/>
          <w:szCs w:val="21"/>
          <w:lang w:val="en-US" w:eastAsia="zh-CN"/>
        </w:rPr>
        <w:t>化妆品准用防腐剂（表4）注（1）d规定，所有含本表中所列含可释放甲醛物质的化妆品，当成品中甲醛浓度超过 0.05%（以游离甲醛计）时，都必须在产品标签上标印“含甲醛”，且禁用于喷雾产品</w:t>
      </w:r>
      <w:r>
        <w:rPr>
          <w:rFonts w:hint="eastAsia" w:ascii="Times New Roman" w:hAnsi="Times New Roman"/>
          <w:szCs w:val="21"/>
        </w:rPr>
        <w:t>。本次修订拟将</w:t>
      </w:r>
      <w:r>
        <w:rPr>
          <w:rFonts w:hint="eastAsia" w:ascii="Times New Roman" w:hAnsi="Times New Roman"/>
          <w:szCs w:val="21"/>
          <w:lang w:val="en-US" w:eastAsia="zh-CN"/>
        </w:rPr>
        <w:t>化妆品准用防腐剂（表4）注（1）d调整为“所有含本表中所列含可释放甲醛物质的化妆品，当成品中甲醛浓度超过 0.001%（以游离甲醛计）时，都必须在产品标签上标印“释放甲醛”，且不得用于可能具有吸入风险的产品”</w:t>
      </w:r>
      <w:r>
        <w:rPr>
          <w:rFonts w:hint="eastAsia" w:ascii="Times New Roman" w:hAnsi="Times New Roman"/>
          <w:szCs w:val="21"/>
        </w:rPr>
        <w:t>。调整后，与欧盟相关规定</w:t>
      </w:r>
      <w:r>
        <w:rPr>
          <w:rFonts w:hint="eastAsia" w:ascii="Times New Roman" w:hAnsi="Times New Roman"/>
          <w:szCs w:val="21"/>
          <w:lang w:val="en-US" w:eastAsia="zh-CN"/>
        </w:rPr>
        <w:t>基本</w:t>
      </w:r>
      <w:r>
        <w:rPr>
          <w:rFonts w:hint="eastAsia" w:ascii="Times New Roman" w:hAnsi="Times New Roman"/>
          <w:szCs w:val="21"/>
        </w:rPr>
        <w:t>一致。</w:t>
      </w:r>
    </w:p>
    <w:p w14:paraId="44C33E54">
      <w:pPr>
        <w:pStyle w:val="14"/>
        <w:numPr>
          <w:ilvl w:val="0"/>
          <w:numId w:val="1"/>
        </w:numPr>
        <w:spacing w:before="156" w:beforeLines="50" w:after="156" w:afterLines="50" w:line="300" w:lineRule="auto"/>
        <w:ind w:firstLineChars="0"/>
        <w:rPr>
          <w:rFonts w:ascii="Times New Roman" w:hAnsi="Times New Roman" w:eastAsia="黑体"/>
          <w:szCs w:val="21"/>
        </w:rPr>
      </w:pPr>
      <w:r>
        <w:rPr>
          <w:rFonts w:hint="eastAsia" w:ascii="Times New Roman" w:hAnsi="Times New Roman" w:eastAsia="黑体"/>
          <w:szCs w:val="21"/>
        </w:rPr>
        <w:t>其他需要说明的问题</w:t>
      </w:r>
    </w:p>
    <w:p w14:paraId="17789531">
      <w:pPr>
        <w:spacing w:line="300" w:lineRule="auto"/>
        <w:ind w:firstLine="420" w:firstLineChars="200"/>
        <w:rPr>
          <w:rFonts w:ascii="Times New Roman" w:hAnsi="Times New Roman" w:eastAsia="黑体"/>
          <w:kern w:val="0"/>
          <w:sz w:val="32"/>
          <w:szCs w:val="32"/>
        </w:rPr>
      </w:pPr>
      <w:r>
        <w:rPr>
          <w:rFonts w:hint="eastAsia" w:ascii="Times New Roman" w:hAnsi="Times New Roman"/>
          <w:szCs w:val="21"/>
        </w:rPr>
        <w:t>无。</w:t>
      </w:r>
    </w:p>
    <w:p w14:paraId="5453067E">
      <w:pPr>
        <w:widowControl/>
        <w:jc w:val="left"/>
        <w:rPr>
          <w:rFonts w:ascii="Times New Roman" w:hAnsi="Times New Roman" w:eastAsia="黑体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62983504"/>
      <w:docPartObj>
        <w:docPartGallery w:val="autotext"/>
      </w:docPartObj>
    </w:sdtPr>
    <w:sdtContent>
      <w:p w14:paraId="73A67B6F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4DA34E7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132726"/>
    <w:multiLevelType w:val="multilevel"/>
    <w:tmpl w:val="42132726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248"/>
    <w:rsid w:val="000104FE"/>
    <w:rsid w:val="00024596"/>
    <w:rsid w:val="00041361"/>
    <w:rsid w:val="00082020"/>
    <w:rsid w:val="00094B85"/>
    <w:rsid w:val="000F4558"/>
    <w:rsid w:val="001176C6"/>
    <w:rsid w:val="00123056"/>
    <w:rsid w:val="001268AA"/>
    <w:rsid w:val="001418E4"/>
    <w:rsid w:val="00147EF2"/>
    <w:rsid w:val="00163440"/>
    <w:rsid w:val="00192C72"/>
    <w:rsid w:val="001E17D3"/>
    <w:rsid w:val="001E465A"/>
    <w:rsid w:val="001E76A8"/>
    <w:rsid w:val="00212CDD"/>
    <w:rsid w:val="002438F3"/>
    <w:rsid w:val="00250D9C"/>
    <w:rsid w:val="002541F6"/>
    <w:rsid w:val="002616EC"/>
    <w:rsid w:val="0026618E"/>
    <w:rsid w:val="002852A9"/>
    <w:rsid w:val="002D55D0"/>
    <w:rsid w:val="002E0D7C"/>
    <w:rsid w:val="002E61BB"/>
    <w:rsid w:val="002E69B1"/>
    <w:rsid w:val="002E6E71"/>
    <w:rsid w:val="002F7054"/>
    <w:rsid w:val="00316466"/>
    <w:rsid w:val="00334477"/>
    <w:rsid w:val="003446F9"/>
    <w:rsid w:val="003A0064"/>
    <w:rsid w:val="003A017E"/>
    <w:rsid w:val="003C1ABB"/>
    <w:rsid w:val="003D2265"/>
    <w:rsid w:val="00407A91"/>
    <w:rsid w:val="00423D84"/>
    <w:rsid w:val="004532A0"/>
    <w:rsid w:val="00455503"/>
    <w:rsid w:val="00457B40"/>
    <w:rsid w:val="004711B2"/>
    <w:rsid w:val="00484E81"/>
    <w:rsid w:val="00492DF7"/>
    <w:rsid w:val="004A1862"/>
    <w:rsid w:val="004B7568"/>
    <w:rsid w:val="004C13A6"/>
    <w:rsid w:val="004C3E02"/>
    <w:rsid w:val="004C6578"/>
    <w:rsid w:val="004D3073"/>
    <w:rsid w:val="004D72F4"/>
    <w:rsid w:val="004E2249"/>
    <w:rsid w:val="004E760D"/>
    <w:rsid w:val="005211D5"/>
    <w:rsid w:val="00536731"/>
    <w:rsid w:val="00536E7B"/>
    <w:rsid w:val="0054174F"/>
    <w:rsid w:val="005728F3"/>
    <w:rsid w:val="0058230E"/>
    <w:rsid w:val="00587540"/>
    <w:rsid w:val="00595FF1"/>
    <w:rsid w:val="00597BC2"/>
    <w:rsid w:val="005A46DE"/>
    <w:rsid w:val="005C5033"/>
    <w:rsid w:val="005F3533"/>
    <w:rsid w:val="00602359"/>
    <w:rsid w:val="00625AF9"/>
    <w:rsid w:val="00626C5E"/>
    <w:rsid w:val="006700EF"/>
    <w:rsid w:val="006732AA"/>
    <w:rsid w:val="00685F80"/>
    <w:rsid w:val="006878AA"/>
    <w:rsid w:val="00692B7B"/>
    <w:rsid w:val="00693AEF"/>
    <w:rsid w:val="006A12D5"/>
    <w:rsid w:val="006C063B"/>
    <w:rsid w:val="006C0F22"/>
    <w:rsid w:val="006C116A"/>
    <w:rsid w:val="006C7CFA"/>
    <w:rsid w:val="006C7E5F"/>
    <w:rsid w:val="006D0667"/>
    <w:rsid w:val="006D6717"/>
    <w:rsid w:val="006D786E"/>
    <w:rsid w:val="006E5FD3"/>
    <w:rsid w:val="00707DC6"/>
    <w:rsid w:val="007208ED"/>
    <w:rsid w:val="00722060"/>
    <w:rsid w:val="00723719"/>
    <w:rsid w:val="007657F6"/>
    <w:rsid w:val="0077075D"/>
    <w:rsid w:val="00782629"/>
    <w:rsid w:val="00786607"/>
    <w:rsid w:val="00787971"/>
    <w:rsid w:val="007B0FC3"/>
    <w:rsid w:val="007C2A05"/>
    <w:rsid w:val="007D7B4E"/>
    <w:rsid w:val="007E0B75"/>
    <w:rsid w:val="0080296E"/>
    <w:rsid w:val="00823585"/>
    <w:rsid w:val="00850D16"/>
    <w:rsid w:val="008651ED"/>
    <w:rsid w:val="00865AAF"/>
    <w:rsid w:val="00875B5E"/>
    <w:rsid w:val="0089524C"/>
    <w:rsid w:val="008A0197"/>
    <w:rsid w:val="008C79D4"/>
    <w:rsid w:val="008C7F73"/>
    <w:rsid w:val="008D4A42"/>
    <w:rsid w:val="008F04CD"/>
    <w:rsid w:val="00943A50"/>
    <w:rsid w:val="00971523"/>
    <w:rsid w:val="00973CCA"/>
    <w:rsid w:val="009A2B65"/>
    <w:rsid w:val="009C581D"/>
    <w:rsid w:val="009D5D1B"/>
    <w:rsid w:val="009E1802"/>
    <w:rsid w:val="009E7ECE"/>
    <w:rsid w:val="00A0065E"/>
    <w:rsid w:val="00A13460"/>
    <w:rsid w:val="00A55369"/>
    <w:rsid w:val="00A55B86"/>
    <w:rsid w:val="00A67486"/>
    <w:rsid w:val="00A92D49"/>
    <w:rsid w:val="00AB27CE"/>
    <w:rsid w:val="00AC2D57"/>
    <w:rsid w:val="00AE2D55"/>
    <w:rsid w:val="00B04C72"/>
    <w:rsid w:val="00B1264F"/>
    <w:rsid w:val="00B60A53"/>
    <w:rsid w:val="00B74440"/>
    <w:rsid w:val="00B824D6"/>
    <w:rsid w:val="00B9641D"/>
    <w:rsid w:val="00BB43B5"/>
    <w:rsid w:val="00BB5F9F"/>
    <w:rsid w:val="00BC028D"/>
    <w:rsid w:val="00BC489F"/>
    <w:rsid w:val="00BD0898"/>
    <w:rsid w:val="00BD4DA2"/>
    <w:rsid w:val="00BE5FB2"/>
    <w:rsid w:val="00C165D1"/>
    <w:rsid w:val="00C17259"/>
    <w:rsid w:val="00C4775D"/>
    <w:rsid w:val="00C623F3"/>
    <w:rsid w:val="00C815B7"/>
    <w:rsid w:val="00C90327"/>
    <w:rsid w:val="00C9123B"/>
    <w:rsid w:val="00CA1304"/>
    <w:rsid w:val="00CB361B"/>
    <w:rsid w:val="00CB4E76"/>
    <w:rsid w:val="00CF0597"/>
    <w:rsid w:val="00D02E25"/>
    <w:rsid w:val="00D171ED"/>
    <w:rsid w:val="00D26D65"/>
    <w:rsid w:val="00D65D0A"/>
    <w:rsid w:val="00D70A10"/>
    <w:rsid w:val="00D96194"/>
    <w:rsid w:val="00DD0CC7"/>
    <w:rsid w:val="00DD216B"/>
    <w:rsid w:val="00DF3C15"/>
    <w:rsid w:val="00DF4FB9"/>
    <w:rsid w:val="00E03DE6"/>
    <w:rsid w:val="00E25914"/>
    <w:rsid w:val="00E26248"/>
    <w:rsid w:val="00E4552F"/>
    <w:rsid w:val="00E50261"/>
    <w:rsid w:val="00E502B5"/>
    <w:rsid w:val="00E554F3"/>
    <w:rsid w:val="00E56CF2"/>
    <w:rsid w:val="00E57D6E"/>
    <w:rsid w:val="00E60BF1"/>
    <w:rsid w:val="00E671DC"/>
    <w:rsid w:val="00E871D3"/>
    <w:rsid w:val="00EA4B23"/>
    <w:rsid w:val="00EB1B55"/>
    <w:rsid w:val="00EB5B58"/>
    <w:rsid w:val="00EC287A"/>
    <w:rsid w:val="00EE210E"/>
    <w:rsid w:val="00F03710"/>
    <w:rsid w:val="00F273CD"/>
    <w:rsid w:val="00F51601"/>
    <w:rsid w:val="00F54FEC"/>
    <w:rsid w:val="00F81B0D"/>
    <w:rsid w:val="00F85120"/>
    <w:rsid w:val="00F86206"/>
    <w:rsid w:val="00F9638E"/>
    <w:rsid w:val="00F970C3"/>
    <w:rsid w:val="00FB674E"/>
    <w:rsid w:val="00FD16F0"/>
    <w:rsid w:val="00FD4BC8"/>
    <w:rsid w:val="00FE7719"/>
    <w:rsid w:val="00FF7FC2"/>
    <w:rsid w:val="01C27372"/>
    <w:rsid w:val="09C70BE6"/>
    <w:rsid w:val="0DEB52DA"/>
    <w:rsid w:val="0F2D753B"/>
    <w:rsid w:val="0F713C26"/>
    <w:rsid w:val="0FC769B3"/>
    <w:rsid w:val="24593831"/>
    <w:rsid w:val="4E191136"/>
    <w:rsid w:val="558B5DC1"/>
    <w:rsid w:val="590A53FA"/>
    <w:rsid w:val="72F16021"/>
    <w:rsid w:val="7525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autoRedefine/>
    <w:unhideWhenUsed/>
    <w:qFormat/>
    <w:uiPriority w:val="39"/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9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Revision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6">
    <w:name w:val="标题 1 字符"/>
    <w:basedOn w:val="9"/>
    <w:link w:val="2"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paragraph" w:customStyle="1" w:styleId="17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paragraph" w:customStyle="1" w:styleId="18">
    <w:name w:val="样式1"/>
    <w:basedOn w:val="1"/>
    <w:next w:val="1"/>
    <w:qFormat/>
    <w:uiPriority w:val="0"/>
    <w:pPr>
      <w:ind w:firstLine="602" w:firstLineChars="200"/>
    </w:pPr>
    <w:rPr>
      <w:rFonts w:ascii="仿宋" w:hAnsi="仿宋" w:eastAsia="仿宋"/>
      <w:sz w:val="30"/>
      <w:szCs w:val="30"/>
    </w:rPr>
  </w:style>
  <w:style w:type="character" w:customStyle="1" w:styleId="19">
    <w:name w:val="批注文字 字符"/>
    <w:basedOn w:val="9"/>
    <w:link w:val="3"/>
    <w:semiHidden/>
    <w:qFormat/>
    <w:uiPriority w:val="99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0537D-6E03-4B9F-B445-BDE27DB37E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967</Words>
  <Characters>1031</Characters>
  <Lines>7</Lines>
  <Paragraphs>1</Paragraphs>
  <TotalTime>2</TotalTime>
  <ScaleCrop>false</ScaleCrop>
  <LinksUpToDate>false</LinksUpToDate>
  <CharactersWithSpaces>1038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2025-12-04T01:52:00Z</dcterms:created>
  <dc:creator>裴新荣</dc:creator>
  <cp:lastModifiedBy>黄湘鹭</cp:lastModifiedBy>
  <cp:lastPrinted>2025-09-04T05:08:00Z</cp:lastPrinted>
  <dcterms:modified xsi:type="dcterms:W3CDTF">2026-08-04T02:50:21Z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8EFA46B2B1BE468F91F6A4D46D72B783_13</vt:lpwstr>
  </property>
  <property fmtid="{D5CDD505-2E9C-101B-9397-08002B2CF9AE}" pid="4" name="KSOTemplateDocerSaveRecord">
    <vt:lpwstr>eyJoZGlkIjoiMzc5ZTU2MThkNmRiZDhiYTk2MzdjZDYxYTYzNzRmY2MiLCJ1c2VySWQiOiI0MDU1NDk1NzYifQ==</vt:lpwstr>
  </property>
</Properties>
</file>