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AEC9EE">
      <w:pPr>
        <w:spacing w:before="156" w:beforeLines="50" w:after="156" w:afterLines="50" w:line="300" w:lineRule="auto"/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</w:pPr>
      <w:bookmarkStart w:id="0" w:name="_Toc214370611"/>
      <w:r>
        <w:rPr>
          <w:rFonts w:ascii="黑体" w:hAnsi="黑体" w:eastAsia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6</w:t>
      </w:r>
    </w:p>
    <w:p w14:paraId="7CB1CF89">
      <w:pPr>
        <w:widowControl/>
        <w:tabs>
          <w:tab w:val="right" w:leader="dot" w:pos="8844"/>
        </w:tabs>
        <w:spacing w:line="720" w:lineRule="auto"/>
        <w:jc w:val="center"/>
        <w:rPr>
          <w:rFonts w:ascii="Times New Roman" w:hAnsi="Times New Roman" w:eastAsia="黑体" w:cs="Times New Roman"/>
          <w:color w:val="auto"/>
          <w:kern w:val="0"/>
          <w:sz w:val="20"/>
          <w:szCs w:val="20"/>
        </w:rPr>
      </w:pPr>
      <w:r>
        <w:rPr>
          <w:rFonts w:hint="eastAsia" w:ascii="Times New Roman" w:hAnsi="Times New Roman" w:eastAsia="黑体" w:cs="Times New Roman"/>
          <w:color w:val="auto"/>
          <w:kern w:val="0"/>
          <w:sz w:val="32"/>
          <w:szCs w:val="32"/>
          <w:lang w:val="en-US" w:eastAsia="zh-CN"/>
        </w:rPr>
        <w:t>CI 42090</w:t>
      </w:r>
      <w:r>
        <w:rPr>
          <w:rFonts w:hint="eastAsia" w:ascii="Times New Roman" w:hAnsi="Times New Roman" w:eastAsia="黑体" w:cs="Times New Roman"/>
          <w:color w:val="auto"/>
          <w:kern w:val="0"/>
          <w:sz w:val="32"/>
          <w:szCs w:val="32"/>
        </w:rPr>
        <w:t>（</w:t>
      </w:r>
      <w:r>
        <w:rPr>
          <w:rFonts w:hint="eastAsia" w:ascii="Times New Roman" w:hAnsi="Times New Roman" w:eastAsia="黑体" w:cs="Times New Roman"/>
          <w:color w:val="auto"/>
          <w:kern w:val="0"/>
          <w:sz w:val="32"/>
          <w:szCs w:val="32"/>
          <w:lang w:val="en-US" w:eastAsia="zh-CN"/>
        </w:rPr>
        <w:t>征求意见稿</w:t>
      </w:r>
      <w:r>
        <w:rPr>
          <w:rFonts w:hint="eastAsia" w:ascii="Times New Roman" w:hAnsi="Times New Roman" w:eastAsia="黑体" w:cs="Times New Roman"/>
          <w:color w:val="auto"/>
          <w:kern w:val="0"/>
          <w:sz w:val="32"/>
          <w:szCs w:val="32"/>
        </w:rPr>
        <w:t>）</w:t>
      </w:r>
    </w:p>
    <w:tbl>
      <w:tblPr>
        <w:tblStyle w:val="10"/>
        <w:tblpPr w:leftFromText="180" w:rightFromText="180" w:vertAnchor="text" w:horzAnchor="page" w:tblpXSpec="center" w:tblpY="217"/>
        <w:tblOverlap w:val="never"/>
        <w:tblW w:w="5099" w:type="pct"/>
        <w:tblInd w:w="-2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"/>
        <w:gridCol w:w="650"/>
        <w:gridCol w:w="1325"/>
        <w:gridCol w:w="1663"/>
        <w:gridCol w:w="1256"/>
        <w:gridCol w:w="1256"/>
        <w:gridCol w:w="5414"/>
        <w:gridCol w:w="1702"/>
      </w:tblGrid>
      <w:tr w14:paraId="5405C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411" w:type="pct"/>
            <w:vMerge w:val="restart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1BD8089D">
            <w:pPr>
              <w:jc w:val="center"/>
              <w:rPr>
                <w:rFonts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Cs w:val="21"/>
              </w:rPr>
              <w:t>章节</w:t>
            </w:r>
          </w:p>
        </w:tc>
        <w:tc>
          <w:tcPr>
            <w:tcW w:w="224" w:type="pct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1CD2BA">
            <w:pPr>
              <w:jc w:val="center"/>
              <w:rPr>
                <w:rFonts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Cs w:val="21"/>
              </w:rPr>
              <w:t>序号</w:t>
            </w:r>
          </w:p>
        </w:tc>
        <w:tc>
          <w:tcPr>
            <w:tcW w:w="1033" w:type="pct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FCB324">
            <w:pPr>
              <w:jc w:val="center"/>
              <w:rPr>
                <w:rFonts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Cs w:val="21"/>
              </w:rPr>
              <w:t>物质名称</w:t>
            </w:r>
          </w:p>
        </w:tc>
        <w:tc>
          <w:tcPr>
            <w:tcW w:w="868" w:type="pct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E062E4">
            <w:pPr>
              <w:jc w:val="center"/>
              <w:rPr>
                <w:rFonts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Cs w:val="21"/>
              </w:rPr>
              <w:t>化妆品使用时的最大允许浓度</w:t>
            </w:r>
          </w:p>
        </w:tc>
        <w:tc>
          <w:tcPr>
            <w:tcW w:w="1872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EA6004E">
            <w:pPr>
              <w:jc w:val="center"/>
              <w:rPr>
                <w:rFonts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Cs w:val="21"/>
              </w:rPr>
              <w:t>其他限制和要求</w:t>
            </w:r>
          </w:p>
        </w:tc>
        <w:tc>
          <w:tcPr>
            <w:tcW w:w="588" w:type="pct"/>
            <w:vMerge w:val="restart"/>
            <w:tcBorders>
              <w:left w:val="single" w:color="000000" w:sz="4" w:space="0"/>
            </w:tcBorders>
            <w:vAlign w:val="center"/>
          </w:tcPr>
          <w:p w14:paraId="2A1765E9">
            <w:pPr>
              <w:jc w:val="center"/>
              <w:rPr>
                <w:rFonts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Cs w:val="21"/>
              </w:rPr>
              <w:t>标签上必须标印的使用条件和注意事项</w:t>
            </w:r>
          </w:p>
        </w:tc>
      </w:tr>
      <w:tr w14:paraId="5CB1A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411" w:type="pct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1CF9C5">
            <w:pPr>
              <w:spacing w:line="560" w:lineRule="exact"/>
              <w:jc w:val="center"/>
              <w:rPr>
                <w:rFonts w:ascii="Times New Roman" w:hAnsi="Times New Roman" w:eastAsia="宋体" w:cs="宋体"/>
                <w:b/>
                <w:bCs/>
                <w:color w:val="auto"/>
                <w:sz w:val="24"/>
              </w:rPr>
            </w:pPr>
          </w:p>
        </w:tc>
        <w:tc>
          <w:tcPr>
            <w:tcW w:w="2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D682EE">
            <w:pPr>
              <w:spacing w:line="560" w:lineRule="exact"/>
              <w:jc w:val="center"/>
              <w:rPr>
                <w:rFonts w:ascii="Times New Roman" w:hAnsi="Times New Roman" w:eastAsia="宋体" w:cs="宋体"/>
                <w:b/>
                <w:bCs/>
                <w:color w:val="auto"/>
                <w:sz w:val="24"/>
              </w:rPr>
            </w:pP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C998AE">
            <w:pPr>
              <w:jc w:val="center"/>
              <w:rPr>
                <w:rFonts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Cs w:val="21"/>
              </w:rPr>
              <w:t>中文名称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9D13FC">
            <w:pPr>
              <w:jc w:val="center"/>
              <w:rPr>
                <w:rFonts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Cs w:val="21"/>
              </w:rPr>
              <w:t>INCI名称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AEEA3A">
            <w:pPr>
              <w:jc w:val="center"/>
              <w:rPr>
                <w:rFonts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Cs w:val="21"/>
              </w:rPr>
              <w:t>氧化型</w:t>
            </w:r>
          </w:p>
          <w:p w14:paraId="4D1F43AE">
            <w:pPr>
              <w:jc w:val="center"/>
              <w:rPr>
                <w:rFonts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Cs w:val="21"/>
              </w:rPr>
              <w:t>染发产品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94D5BB">
            <w:pPr>
              <w:jc w:val="center"/>
              <w:rPr>
                <w:rFonts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Cs w:val="21"/>
              </w:rPr>
              <w:t>非氧化型</w:t>
            </w:r>
          </w:p>
          <w:p w14:paraId="6A2FA294">
            <w:pPr>
              <w:jc w:val="center"/>
              <w:rPr>
                <w:rFonts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Cs w:val="21"/>
              </w:rPr>
              <w:t>染发产品</w:t>
            </w:r>
          </w:p>
        </w:tc>
        <w:tc>
          <w:tcPr>
            <w:tcW w:w="187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AFF856">
            <w:pPr>
              <w:spacing w:line="560" w:lineRule="exact"/>
              <w:jc w:val="center"/>
              <w:rPr>
                <w:rFonts w:ascii="Times New Roman" w:hAnsi="Times New Roman" w:eastAsia="宋体" w:cs="宋体"/>
                <w:b/>
                <w:bCs/>
                <w:color w:val="auto"/>
                <w:sz w:val="24"/>
              </w:rPr>
            </w:pPr>
          </w:p>
        </w:tc>
        <w:tc>
          <w:tcPr>
            <w:tcW w:w="588" w:type="pct"/>
            <w:vMerge w:val="continue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37075861">
            <w:pPr>
              <w:spacing w:line="560" w:lineRule="exact"/>
              <w:jc w:val="center"/>
              <w:rPr>
                <w:rFonts w:ascii="Times New Roman" w:hAnsi="Times New Roman" w:eastAsia="宋体" w:cs="宋体"/>
                <w:b/>
                <w:bCs/>
                <w:color w:val="auto"/>
                <w:sz w:val="24"/>
              </w:rPr>
            </w:pPr>
          </w:p>
        </w:tc>
      </w:tr>
      <w:tr w14:paraId="7FD07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8" w:hRule="atLeast"/>
        </w:trPr>
        <w:tc>
          <w:tcPr>
            <w:tcW w:w="411" w:type="pct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7F2BDE2D">
            <w:pPr>
              <w:jc w:val="center"/>
              <w:rPr>
                <w:rFonts w:hint="eastAsia" w:ascii="Times New Roman" w:hAnsi="Times New Roman" w:cs="Times New Roman" w:eastAsia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szCs w:val="21"/>
              </w:rPr>
              <w:t>第三章4化妆品准用染发剂</w:t>
            </w:r>
          </w:p>
          <w:p w14:paraId="195FD9A9">
            <w:pPr>
              <w:jc w:val="center"/>
              <w:rPr>
                <w:rFonts w:ascii="Times New Roman" w:hAnsi="Times New Roman" w:cs="Times New Roman" w:eastAsia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szCs w:val="21"/>
              </w:rPr>
              <w:t>（表7）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2DED78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szCs w:val="21"/>
                <w:lang w:val="en-US" w:eastAsia="zh-CN"/>
              </w:rPr>
              <w:t>76</w:t>
            </w:r>
            <w:bookmarkStart w:id="5" w:name="_GoBack"/>
            <w:bookmarkEnd w:id="5"/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43FC7">
            <w:pPr>
              <w:jc w:val="center"/>
              <w:rPr>
                <w:rFonts w:hint="eastAsia" w:ascii="Times New Roman" w:hAnsi="Times New Roman" w:cs="Times New Roman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szCs w:val="21"/>
                <w:lang w:val="en-US" w:eastAsia="zh-CN"/>
              </w:rPr>
              <w:t>CI 42090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A9ED6">
            <w:pPr>
              <w:jc w:val="center"/>
              <w:rPr>
                <w:rFonts w:hint="eastAsia" w:ascii="Times New Roman" w:hAnsi="Times New Roman" w:cs="Times New Roman" w:eastAsia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szCs w:val="21"/>
              </w:rPr>
              <w:t>ACID BLUE 9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21B6BC8">
            <w:pPr>
              <w:jc w:val="center"/>
              <w:rPr>
                <w:rFonts w:ascii="Times New Roman" w:hAnsi="Times New Roman" w:cs="Times New Roman" w:eastAsiaTheme="minorEastAsia"/>
                <w:color w:val="auto"/>
                <w:szCs w:val="21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D9A3A1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szCs w:val="21"/>
                <w:lang w:val="en-US" w:eastAsia="zh-CN"/>
              </w:rPr>
              <w:t>0.5%</w:t>
            </w:r>
          </w:p>
        </w:tc>
        <w:tc>
          <w:tcPr>
            <w:tcW w:w="1872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27C2F40">
            <w:pPr>
              <w:rPr>
                <w:rFonts w:ascii="Times New Roman" w:hAnsi="Times New Roman" w:cs="Times New Roman" w:eastAsiaTheme="minorEastAsia"/>
                <w:color w:val="auto"/>
                <w:szCs w:val="21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szCs w:val="21"/>
                <w:highlight w:val="none"/>
                <w:lang w:val="en-US" w:eastAsia="zh-CN"/>
              </w:rPr>
              <w:t>所用染料纯度不得小于85%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Cs w:val="21"/>
                <w:lang w:val="en-US" w:eastAsia="zh-CN"/>
              </w:rPr>
              <w:t>，其杂质含量必须符合以下要求：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Cs w:val="21"/>
              </w:rPr>
              <w:t>2-,3-和4-甲酰基苯磺酸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Cs w:val="21"/>
              </w:rPr>
              <w:t>2-,3- and 4-Formyl benzene sulfonic acids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Cs w:val="21"/>
                <w:lang w:eastAsia="zh-CN"/>
              </w:rPr>
              <w:t>）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Cs w:val="21"/>
              </w:rPr>
              <w:t>总量不超过1.5%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Cs w:val="21"/>
                <w:lang w:eastAsia="zh-CN"/>
              </w:rPr>
              <w:t>；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Cs w:val="21"/>
              </w:rPr>
              <w:t>3-(乙基(4-磺苯基)氨基)甲基苯磺酸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Cs w:val="21"/>
              </w:rPr>
              <w:t>3-(Ethyl(4-sulfophenyl)amino)methyl benzene sulfonic acid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Cs w:val="21"/>
                <w:lang w:eastAsia="zh-CN"/>
              </w:rPr>
              <w:t>）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Cs w:val="21"/>
              </w:rPr>
              <w:t>不超过0.3%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Cs w:val="21"/>
                <w:lang w:eastAsia="zh-CN"/>
              </w:rPr>
              <w:t>；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Cs w:val="21"/>
              </w:rPr>
              <w:t>无色母体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Cs w:val="21"/>
              </w:rPr>
              <w:t>Leuco base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Cs w:val="21"/>
                <w:lang w:eastAsia="zh-CN"/>
              </w:rPr>
              <w:t>）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Cs w:val="21"/>
              </w:rPr>
              <w:t>不超过5.0%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Cs w:val="21"/>
                <w:lang w:eastAsia="zh-CN"/>
              </w:rPr>
              <w:t>；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Cs w:val="21"/>
              </w:rPr>
              <w:t>未磺化芳香伯胺不超过0.01%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Cs w:val="21"/>
              </w:rPr>
              <w:t>以苯胺计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Cs w:val="21"/>
                <w:lang w:eastAsia="zh-CN"/>
              </w:rPr>
              <w:t>）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Cs w:val="21"/>
              </w:rPr>
              <w:t xml:space="preserve"> 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4DA4692D">
            <w:pPr>
              <w:spacing w:line="560" w:lineRule="exact"/>
              <w:jc w:val="center"/>
              <w:rPr>
                <w:rFonts w:ascii="Times New Roman" w:hAnsi="Times New Roman" w:eastAsia="宋体" w:cs="宋体"/>
                <w:color w:val="auto"/>
                <w:sz w:val="24"/>
              </w:rPr>
            </w:pPr>
          </w:p>
        </w:tc>
      </w:tr>
    </w:tbl>
    <w:p w14:paraId="721B9AF9">
      <w:pPr>
        <w:pStyle w:val="2"/>
        <w:spacing w:before="0" w:after="0" w:line="240" w:lineRule="auto"/>
        <w:jc w:val="center"/>
        <w:rPr>
          <w:rFonts w:hint="eastAsia" w:ascii="Times New Roman" w:hAnsi="Times New Roman" w:eastAsia="黑体"/>
          <w:b w:val="0"/>
          <w:bCs w:val="0"/>
          <w:color w:val="auto"/>
          <w:sz w:val="32"/>
          <w:szCs w:val="32"/>
        </w:rPr>
      </w:pPr>
    </w:p>
    <w:p w14:paraId="5CCC186A">
      <w:pPr>
        <w:rPr>
          <w:rFonts w:hint="eastAsia"/>
          <w:color w:val="auto"/>
        </w:rPr>
      </w:pPr>
    </w:p>
    <w:p w14:paraId="4B1C38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-2147483648" w:after="0" w:afterLines="-2147483648" w:line="240" w:lineRule="auto"/>
        <w:jc w:val="center"/>
        <w:textAlignment w:val="auto"/>
        <w:rPr>
          <w:rFonts w:hint="default" w:ascii="Times New Roman" w:hAnsi="Times New Roman" w:eastAsia="黑体"/>
          <w:color w:val="auto"/>
          <w:spacing w:val="-6"/>
          <w:sz w:val="32"/>
          <w:szCs w:val="32"/>
          <w:lang w:val="en-US" w:eastAsia="zh-CN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66611608">
      <w:pPr>
        <w:pStyle w:val="2"/>
        <w:spacing w:before="0" w:after="0" w:line="240" w:lineRule="auto"/>
        <w:jc w:val="center"/>
        <w:rPr>
          <w:rFonts w:ascii="Times New Roman" w:hAnsi="Times New Roman" w:eastAsia="黑体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黑体"/>
          <w:b w:val="0"/>
          <w:bCs w:val="0"/>
          <w:color w:val="auto"/>
          <w:sz w:val="32"/>
          <w:szCs w:val="32"/>
        </w:rPr>
        <w:t>CI 42090（征求意见稿）起草说明</w:t>
      </w:r>
      <w:bookmarkEnd w:id="0"/>
    </w:p>
    <w:p w14:paraId="7EC6BE17">
      <w:pPr>
        <w:rPr>
          <w:color w:val="auto"/>
        </w:rPr>
      </w:pPr>
    </w:p>
    <w:p w14:paraId="7D2D81D9">
      <w:pPr>
        <w:spacing w:line="300" w:lineRule="auto"/>
        <w:ind w:firstLine="420" w:firstLineChars="200"/>
        <w:rPr>
          <w:rFonts w:ascii="Times New Roman" w:hAnsi="Times New Roman"/>
          <w:color w:val="auto"/>
          <w:szCs w:val="21"/>
        </w:rPr>
      </w:pPr>
      <w:bookmarkStart w:id="1" w:name="_Hlk207630645"/>
      <w:r>
        <w:rPr>
          <w:rFonts w:hint="eastAsia" w:ascii="Times New Roman" w:hAnsi="Times New Roman"/>
          <w:color w:val="auto"/>
          <w:szCs w:val="21"/>
        </w:rPr>
        <w:t>为加强化妆品的监督管理，进一步提高化妆品使用安全性，</w:t>
      </w:r>
      <w:r>
        <w:rPr>
          <w:rFonts w:hint="eastAsia" w:ascii="Times New Roman" w:hAnsi="Times New Roman"/>
          <w:color w:val="auto"/>
          <w:szCs w:val="21"/>
          <w:lang w:val="en-US" w:eastAsia="zh-CN"/>
        </w:rPr>
        <w:t>国家药监局</w:t>
      </w:r>
      <w:r>
        <w:rPr>
          <w:rFonts w:hint="eastAsia" w:ascii="Times New Roman" w:hAnsi="Times New Roman"/>
          <w:color w:val="auto"/>
          <w:szCs w:val="21"/>
        </w:rPr>
        <w:t>化妆品标准化技术委员会组织开展了《CI 42090》的</w:t>
      </w:r>
      <w:r>
        <w:rPr>
          <w:rFonts w:hint="eastAsia" w:ascii="Times New Roman" w:hAnsi="Times New Roman"/>
          <w:color w:val="auto"/>
          <w:szCs w:val="21"/>
          <w:lang w:val="en-US" w:eastAsia="zh-CN"/>
        </w:rPr>
        <w:t>研究制定</w:t>
      </w:r>
      <w:r>
        <w:rPr>
          <w:rFonts w:hint="eastAsia" w:ascii="Times New Roman" w:hAnsi="Times New Roman"/>
          <w:color w:val="auto"/>
          <w:szCs w:val="21"/>
        </w:rPr>
        <w:t>工作。现</w:t>
      </w:r>
      <w:r>
        <w:rPr>
          <w:rFonts w:hint="eastAsia" w:ascii="Times New Roman" w:hAnsi="Times New Roman"/>
          <w:color w:val="auto"/>
          <w:szCs w:val="21"/>
          <w:lang w:val="en-US" w:eastAsia="zh-CN"/>
        </w:rPr>
        <w:t>将</w:t>
      </w:r>
      <w:r>
        <w:rPr>
          <w:rFonts w:hint="eastAsia" w:ascii="Times New Roman" w:hAnsi="Times New Roman"/>
          <w:color w:val="auto"/>
          <w:szCs w:val="21"/>
        </w:rPr>
        <w:t>有关情况说明如下：</w:t>
      </w:r>
    </w:p>
    <w:bookmarkEnd w:id="1"/>
    <w:p w14:paraId="55DB53DF">
      <w:pPr>
        <w:pStyle w:val="17"/>
        <w:numPr>
          <w:ilvl w:val="0"/>
          <w:numId w:val="1"/>
        </w:numPr>
        <w:spacing w:before="156" w:beforeLines="50" w:after="156" w:afterLines="50" w:line="300" w:lineRule="auto"/>
        <w:ind w:firstLineChars="0"/>
        <w:rPr>
          <w:rFonts w:ascii="Times New Roman" w:hAnsi="Times New Roman" w:eastAsia="黑体"/>
          <w:color w:val="auto"/>
          <w:szCs w:val="21"/>
        </w:rPr>
      </w:pPr>
      <w:r>
        <w:rPr>
          <w:rFonts w:hint="eastAsia" w:ascii="Times New Roman" w:hAnsi="Times New Roman" w:eastAsia="黑体"/>
          <w:color w:val="auto"/>
          <w:szCs w:val="21"/>
        </w:rPr>
        <w:t>概述</w:t>
      </w:r>
    </w:p>
    <w:p w14:paraId="5A2D7D88">
      <w:pPr>
        <w:spacing w:line="300" w:lineRule="auto"/>
        <w:ind w:firstLine="420" w:firstLineChars="200"/>
        <w:rPr>
          <w:rFonts w:ascii="Times New Roman" w:hAnsi="Times New Roman"/>
          <w:color w:val="auto"/>
          <w:szCs w:val="21"/>
        </w:rPr>
      </w:pPr>
      <w:r>
        <w:rPr>
          <w:rFonts w:hint="eastAsia" w:ascii="Times New Roman" w:hAnsi="Times New Roman"/>
          <w:color w:val="auto"/>
          <w:szCs w:val="21"/>
        </w:rPr>
        <w:t>CI 42090，INCI名称</w:t>
      </w:r>
      <w:r>
        <w:rPr>
          <w:rFonts w:hint="eastAsia" w:ascii="Times New Roman" w:hAnsi="Times New Roman"/>
          <w:color w:val="auto"/>
          <w:szCs w:val="21"/>
          <w:lang w:val="en-US" w:eastAsia="zh-CN"/>
        </w:rPr>
        <w:t>为</w:t>
      </w:r>
      <w:r>
        <w:rPr>
          <w:rFonts w:hint="eastAsia" w:ascii="Times New Roman" w:hAnsi="Times New Roman"/>
          <w:color w:val="auto"/>
          <w:szCs w:val="21"/>
        </w:rPr>
        <w:t>ACID BLUE 9。《化妆品安全技术规范》</w:t>
      </w:r>
      <w:r>
        <w:rPr>
          <w:rFonts w:hint="eastAsia" w:ascii="Times New Roman" w:hAnsi="Times New Roman"/>
          <w:color w:val="auto"/>
          <w:szCs w:val="21"/>
          <w:lang w:val="en-US" w:eastAsia="zh-CN"/>
        </w:rPr>
        <w:t>规定其可作为化妆品准用着色剂使用，着色剂索引通用中文名为</w:t>
      </w:r>
      <w:r>
        <w:rPr>
          <w:rFonts w:hint="eastAsia" w:ascii="Times New Roman" w:hAnsi="Times New Roman"/>
          <w:color w:val="auto"/>
          <w:szCs w:val="21"/>
        </w:rPr>
        <w:t>食品蓝2</w:t>
      </w:r>
      <w:r>
        <w:rPr>
          <w:rFonts w:hint="eastAsia" w:ascii="Times New Roman" w:hAnsi="Times New Roman"/>
          <w:color w:val="auto"/>
          <w:szCs w:val="21"/>
          <w:lang w:val="en-US" w:eastAsia="zh-CN"/>
        </w:rPr>
        <w:t>。</w:t>
      </w:r>
    </w:p>
    <w:p w14:paraId="1E35BD59">
      <w:pPr>
        <w:pStyle w:val="17"/>
        <w:numPr>
          <w:ilvl w:val="0"/>
          <w:numId w:val="1"/>
        </w:numPr>
        <w:spacing w:before="156" w:beforeLines="50" w:after="156" w:afterLines="50" w:line="300" w:lineRule="auto"/>
        <w:ind w:firstLineChars="0"/>
        <w:rPr>
          <w:rFonts w:ascii="Times New Roman" w:hAnsi="Times New Roman" w:eastAsia="黑体"/>
          <w:color w:val="auto"/>
          <w:szCs w:val="21"/>
        </w:rPr>
      </w:pPr>
      <w:r>
        <w:rPr>
          <w:rFonts w:hint="eastAsia" w:ascii="Times New Roman" w:hAnsi="Times New Roman" w:eastAsia="黑体"/>
          <w:color w:val="auto"/>
          <w:szCs w:val="21"/>
        </w:rPr>
        <w:t>起草原则</w:t>
      </w:r>
    </w:p>
    <w:p w14:paraId="3314A75D">
      <w:pPr>
        <w:spacing w:before="156" w:beforeLines="50" w:after="156" w:afterLines="50" w:line="300" w:lineRule="auto"/>
        <w:rPr>
          <w:rFonts w:ascii="Times New Roman" w:hAnsi="Times New Roman"/>
          <w:color w:val="auto"/>
          <w:szCs w:val="21"/>
        </w:rPr>
      </w:pPr>
      <w:r>
        <w:rPr>
          <w:rFonts w:hint="eastAsia" w:ascii="Times New Roman" w:hAnsi="Times New Roman"/>
          <w:color w:val="auto"/>
          <w:szCs w:val="21"/>
        </w:rPr>
        <w:t xml:space="preserve">（一）科学性原则 </w:t>
      </w:r>
    </w:p>
    <w:p w14:paraId="7A7B80A1">
      <w:pPr>
        <w:spacing w:line="300" w:lineRule="auto"/>
        <w:ind w:firstLine="420" w:firstLineChars="200"/>
        <w:rPr>
          <w:rFonts w:ascii="Times New Roman" w:hAnsi="Times New Roman" w:eastAsia="仿宋_GB2312"/>
          <w:bCs/>
          <w:color w:val="auto"/>
          <w:sz w:val="32"/>
          <w:szCs w:val="32"/>
        </w:rPr>
      </w:pPr>
      <w:r>
        <w:rPr>
          <w:rFonts w:hint="eastAsia" w:ascii="Times New Roman" w:hAnsi="Times New Roman"/>
          <w:color w:val="auto"/>
          <w:szCs w:val="21"/>
        </w:rPr>
        <w:t>依据《化妆品安全评估技术导则（</w:t>
      </w:r>
      <w:r>
        <w:rPr>
          <w:rFonts w:ascii="Times New Roman" w:hAnsi="Times New Roman"/>
          <w:color w:val="auto"/>
          <w:szCs w:val="21"/>
        </w:rPr>
        <w:t>2021</w:t>
      </w:r>
      <w:r>
        <w:rPr>
          <w:rFonts w:hint="eastAsia" w:ascii="Times New Roman" w:hAnsi="Times New Roman"/>
          <w:color w:val="auto"/>
          <w:szCs w:val="21"/>
        </w:rPr>
        <w:t>年版）》，参考欧盟消费者安全科学委员会（</w:t>
      </w:r>
      <w:r>
        <w:rPr>
          <w:rFonts w:ascii="Times New Roman" w:hAnsi="Times New Roman"/>
          <w:color w:val="auto"/>
          <w:szCs w:val="21"/>
        </w:rPr>
        <w:t>SCCS</w:t>
      </w:r>
      <w:r>
        <w:rPr>
          <w:rFonts w:hint="eastAsia" w:ascii="Times New Roman" w:hAnsi="Times New Roman"/>
          <w:color w:val="auto"/>
          <w:szCs w:val="21"/>
        </w:rPr>
        <w:t>）、美国化妆品原料审查委员会（CIR）等国际机构最新评估结论，以现有科学数据和相关信息为基础进行安全评估。</w:t>
      </w:r>
    </w:p>
    <w:p w14:paraId="2A2530CA">
      <w:pPr>
        <w:spacing w:before="156" w:beforeLines="50" w:after="156" w:afterLines="50" w:line="300" w:lineRule="auto"/>
        <w:rPr>
          <w:rFonts w:ascii="Times New Roman" w:hAnsi="Times New Roman"/>
          <w:color w:val="auto"/>
          <w:szCs w:val="21"/>
        </w:rPr>
      </w:pPr>
      <w:r>
        <w:rPr>
          <w:rFonts w:hint="eastAsia" w:ascii="Times New Roman" w:hAnsi="Times New Roman"/>
          <w:color w:val="auto"/>
          <w:szCs w:val="21"/>
        </w:rPr>
        <w:t xml:space="preserve">（二）适用性原则 </w:t>
      </w:r>
    </w:p>
    <w:p w14:paraId="0B6C8037">
      <w:pPr>
        <w:spacing w:line="300" w:lineRule="auto"/>
        <w:ind w:firstLine="420" w:firstLineChars="200"/>
        <w:rPr>
          <w:rFonts w:ascii="Times New Roman" w:hAnsi="Times New Roman"/>
          <w:color w:val="auto"/>
          <w:szCs w:val="21"/>
        </w:rPr>
      </w:pPr>
      <w:r>
        <w:rPr>
          <w:rFonts w:hint="eastAsia" w:ascii="Times New Roman" w:hAnsi="Times New Roman"/>
          <w:color w:val="auto"/>
          <w:szCs w:val="21"/>
        </w:rPr>
        <w:t>基于安全评估结论，调研我国行业使用情况，提出</w:t>
      </w:r>
      <w:r>
        <w:rPr>
          <w:rFonts w:ascii="Times New Roman" w:hAnsi="Times New Roman" w:eastAsia="宋体" w:cs="Times New Roman"/>
          <w:color w:val="auto"/>
          <w:szCs w:val="21"/>
        </w:rPr>
        <w:t>标准</w:t>
      </w:r>
      <w:r>
        <w:rPr>
          <w:rFonts w:hint="eastAsia" w:ascii="Times New Roman" w:hAnsi="Times New Roman"/>
          <w:color w:val="auto"/>
          <w:szCs w:val="21"/>
          <w:lang w:val="en-US" w:eastAsia="zh-CN"/>
        </w:rPr>
        <w:t>制定</w:t>
      </w:r>
      <w:r>
        <w:rPr>
          <w:rFonts w:hint="eastAsia" w:ascii="Times New Roman" w:hAnsi="Times New Roman"/>
          <w:color w:val="auto"/>
          <w:szCs w:val="21"/>
        </w:rPr>
        <w:t xml:space="preserve">建议。 </w:t>
      </w:r>
    </w:p>
    <w:p w14:paraId="069BC551">
      <w:pPr>
        <w:spacing w:before="156" w:beforeLines="50" w:after="156" w:afterLines="50" w:line="300" w:lineRule="auto"/>
        <w:rPr>
          <w:rFonts w:ascii="Times New Roman" w:hAnsi="Times New Roman"/>
          <w:color w:val="auto"/>
          <w:szCs w:val="21"/>
        </w:rPr>
      </w:pPr>
      <w:r>
        <w:rPr>
          <w:rFonts w:hint="eastAsia" w:ascii="Times New Roman" w:hAnsi="Times New Roman"/>
          <w:color w:val="auto"/>
          <w:szCs w:val="21"/>
        </w:rPr>
        <w:t xml:space="preserve">（三）协调性原则 </w:t>
      </w:r>
    </w:p>
    <w:p w14:paraId="21A4937F">
      <w:pPr>
        <w:spacing w:line="300" w:lineRule="auto"/>
        <w:ind w:firstLine="420" w:firstLineChars="200"/>
        <w:rPr>
          <w:rFonts w:ascii="Times New Roman" w:hAnsi="Times New Roman"/>
          <w:color w:val="auto"/>
          <w:szCs w:val="21"/>
        </w:rPr>
      </w:pPr>
      <w:r>
        <w:rPr>
          <w:rFonts w:hint="eastAsia" w:ascii="Times New Roman" w:hAnsi="Times New Roman"/>
          <w:color w:val="auto"/>
          <w:szCs w:val="21"/>
        </w:rPr>
        <w:t>参考欧盟、美国等国家或地区使用管理要求，确保</w:t>
      </w:r>
      <w:r>
        <w:rPr>
          <w:rFonts w:hint="default" w:ascii="Times New Roman" w:hAnsi="Times New Roman" w:cs="Times New Roman"/>
          <w:color w:val="auto"/>
          <w:szCs w:val="21"/>
          <w:lang w:val="en-US" w:eastAsia="zh-CN"/>
        </w:rPr>
        <w:t>制定</w:t>
      </w:r>
      <w:r>
        <w:rPr>
          <w:rFonts w:hint="eastAsia" w:ascii="Times New Roman" w:hAnsi="Times New Roman"/>
          <w:color w:val="auto"/>
          <w:szCs w:val="21"/>
        </w:rPr>
        <w:t>后的协调一致性。</w:t>
      </w:r>
    </w:p>
    <w:p w14:paraId="2E963499">
      <w:pPr>
        <w:pStyle w:val="17"/>
        <w:numPr>
          <w:ilvl w:val="0"/>
          <w:numId w:val="1"/>
        </w:numPr>
        <w:spacing w:before="156" w:beforeLines="50" w:after="156" w:afterLines="50" w:line="300" w:lineRule="auto"/>
        <w:ind w:firstLineChars="0"/>
        <w:rPr>
          <w:rFonts w:ascii="Times New Roman" w:hAnsi="Times New Roman" w:eastAsia="黑体"/>
          <w:color w:val="auto"/>
          <w:szCs w:val="21"/>
        </w:rPr>
      </w:pPr>
      <w:r>
        <w:rPr>
          <w:rFonts w:hint="eastAsia" w:ascii="Times New Roman" w:hAnsi="Times New Roman" w:eastAsia="黑体"/>
          <w:color w:val="auto"/>
          <w:szCs w:val="21"/>
        </w:rPr>
        <w:t>起草过程</w:t>
      </w:r>
    </w:p>
    <w:p w14:paraId="7B010BC9">
      <w:pPr>
        <w:spacing w:before="50" w:after="50" w:line="300" w:lineRule="auto"/>
        <w:ind w:firstLine="420" w:firstLineChars="200"/>
        <w:rPr>
          <w:rFonts w:ascii="Times New Roman" w:hAnsi="Times New Roman"/>
          <w:bCs/>
          <w:color w:val="auto"/>
          <w:kern w:val="44"/>
          <w:szCs w:val="21"/>
        </w:rPr>
      </w:pPr>
      <w:r>
        <w:rPr>
          <w:rFonts w:hint="eastAsia" w:ascii="Times New Roman" w:hAnsi="Times New Roman"/>
          <w:color w:val="auto"/>
          <w:szCs w:val="21"/>
        </w:rPr>
        <w:t>通过国内外相关法规标准分析、行业</w:t>
      </w:r>
      <w:r>
        <w:rPr>
          <w:rFonts w:ascii="Times New Roman" w:hAnsi="Times New Roman"/>
          <w:color w:val="auto"/>
          <w:szCs w:val="21"/>
        </w:rPr>
        <w:t>使用情况</w:t>
      </w:r>
      <w:r>
        <w:rPr>
          <w:rFonts w:hint="eastAsia" w:ascii="Times New Roman" w:hAnsi="Times New Roman"/>
          <w:color w:val="auto"/>
          <w:szCs w:val="21"/>
        </w:rPr>
        <w:t>调研、背景调</w:t>
      </w:r>
      <w:bookmarkStart w:id="2" w:name="_Hlk213920596"/>
      <w:r>
        <w:rPr>
          <w:rFonts w:hint="eastAsia" w:ascii="Times New Roman" w:hAnsi="Times New Roman"/>
          <w:color w:val="auto"/>
          <w:szCs w:val="21"/>
        </w:rPr>
        <w:t>研</w:t>
      </w:r>
      <w:bookmarkEnd w:id="2"/>
      <w:r>
        <w:rPr>
          <w:rFonts w:hint="eastAsia" w:ascii="Times New Roman" w:hAnsi="Times New Roman"/>
          <w:color w:val="auto"/>
          <w:szCs w:val="21"/>
        </w:rPr>
        <w:t>、资料文献整理及研究</w:t>
      </w:r>
      <w:r>
        <w:rPr>
          <w:rFonts w:ascii="Times New Roman" w:hAnsi="Times New Roman"/>
          <w:color w:val="auto"/>
          <w:szCs w:val="21"/>
        </w:rPr>
        <w:t>、安全评估</w:t>
      </w:r>
      <w:r>
        <w:rPr>
          <w:rFonts w:hint="eastAsia" w:ascii="Times New Roman" w:hAnsi="Times New Roman"/>
          <w:color w:val="auto"/>
          <w:szCs w:val="21"/>
        </w:rPr>
        <w:t>等，</w:t>
      </w:r>
      <w:bookmarkStart w:id="3" w:name="OLE_LINK3"/>
      <w:bookmarkStart w:id="4" w:name="OLE_LINK2"/>
      <w:r>
        <w:rPr>
          <w:rFonts w:hint="eastAsia" w:ascii="Times New Roman" w:hAnsi="Times New Roman"/>
          <w:color w:val="auto"/>
          <w:szCs w:val="21"/>
        </w:rPr>
        <w:t>形成《化妆品中</w:t>
      </w:r>
      <w:r>
        <w:rPr>
          <w:rFonts w:hint="eastAsia" w:ascii="Times New Roman" w:hAnsi="Times New Roman"/>
          <w:color w:val="auto"/>
          <w:szCs w:val="21"/>
          <w:lang w:val="en-US" w:eastAsia="zh-CN"/>
        </w:rPr>
        <w:t>CI 42090</w:t>
      </w:r>
      <w:r>
        <w:rPr>
          <w:rFonts w:hint="eastAsia" w:ascii="Times New Roman" w:hAnsi="Times New Roman"/>
          <w:color w:val="auto"/>
          <w:szCs w:val="21"/>
        </w:rPr>
        <w:t>的安全评估报告》，提出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>标准</w:t>
      </w:r>
      <w:r>
        <w:rPr>
          <w:rFonts w:hint="default" w:ascii="Times New Roman" w:hAnsi="Times New Roman" w:cs="Times New Roman"/>
          <w:color w:val="auto"/>
          <w:szCs w:val="21"/>
          <w:lang w:val="en-US" w:eastAsia="zh-CN"/>
        </w:rPr>
        <w:t>制定</w:t>
      </w:r>
      <w:r>
        <w:rPr>
          <w:rFonts w:hint="eastAsia" w:ascii="Times New Roman" w:hAnsi="Times New Roman"/>
          <w:color w:val="auto"/>
          <w:szCs w:val="21"/>
        </w:rPr>
        <w:t>建议。</w:t>
      </w:r>
      <w:bookmarkEnd w:id="3"/>
      <w:bookmarkEnd w:id="4"/>
    </w:p>
    <w:p w14:paraId="3ABF5351">
      <w:pPr>
        <w:pStyle w:val="17"/>
        <w:numPr>
          <w:ilvl w:val="0"/>
          <w:numId w:val="1"/>
        </w:numPr>
        <w:spacing w:before="156" w:beforeLines="50" w:after="156" w:afterLines="50" w:line="300" w:lineRule="auto"/>
        <w:ind w:firstLineChars="0"/>
        <w:rPr>
          <w:rFonts w:ascii="Times New Roman" w:hAnsi="Times New Roman" w:eastAsia="黑体"/>
          <w:color w:val="auto"/>
          <w:szCs w:val="21"/>
        </w:rPr>
      </w:pPr>
      <w:r>
        <w:rPr>
          <w:rFonts w:hint="eastAsia" w:ascii="Times New Roman" w:hAnsi="Times New Roman" w:eastAsia="黑体"/>
          <w:color w:val="auto"/>
          <w:szCs w:val="21"/>
        </w:rPr>
        <w:t>与我国已有标准的关系</w:t>
      </w:r>
    </w:p>
    <w:p w14:paraId="757FC3A8">
      <w:pPr>
        <w:spacing w:line="300" w:lineRule="auto"/>
        <w:ind w:firstLine="420" w:firstLineChars="200"/>
        <w:rPr>
          <w:rFonts w:hint="eastAsia" w:ascii="Times New Roman" w:hAnsi="Times New Roman"/>
          <w:color w:val="auto"/>
          <w:szCs w:val="21"/>
        </w:rPr>
      </w:pPr>
      <w:r>
        <w:rPr>
          <w:rFonts w:hint="eastAsia" w:ascii="Times New Roman" w:hAnsi="Times New Roman"/>
          <w:color w:val="auto"/>
          <w:szCs w:val="21"/>
        </w:rPr>
        <w:t>CI 42090已收录于《化妆品安全技术规范》化妆品准用着色剂</w:t>
      </w:r>
      <w:r>
        <w:rPr>
          <w:rFonts w:hint="eastAsia" w:ascii="Times New Roman" w:hAnsi="Times New Roman"/>
          <w:color w:val="auto"/>
          <w:szCs w:val="21"/>
          <w:lang w:eastAsia="zh-CN"/>
        </w:rPr>
        <w:t>（</w:t>
      </w:r>
      <w:r>
        <w:rPr>
          <w:rFonts w:hint="eastAsia" w:ascii="Times New Roman" w:hAnsi="Times New Roman"/>
          <w:color w:val="auto"/>
          <w:szCs w:val="21"/>
          <w:lang w:val="en-US" w:eastAsia="zh-CN"/>
        </w:rPr>
        <w:t>表6</w:t>
      </w:r>
      <w:r>
        <w:rPr>
          <w:rFonts w:hint="eastAsia" w:ascii="Times New Roman" w:hAnsi="Times New Roman"/>
          <w:color w:val="auto"/>
          <w:szCs w:val="21"/>
          <w:lang w:eastAsia="zh-CN"/>
        </w:rPr>
        <w:t>），</w:t>
      </w:r>
      <w:r>
        <w:rPr>
          <w:rFonts w:hint="eastAsia" w:ascii="Times New Roman" w:hAnsi="Times New Roman"/>
          <w:color w:val="auto"/>
          <w:szCs w:val="21"/>
          <w:lang w:val="en-US" w:eastAsia="zh-CN"/>
        </w:rPr>
        <w:t>着色剂索引通用中文名为</w:t>
      </w:r>
      <w:r>
        <w:rPr>
          <w:rFonts w:hint="eastAsia" w:ascii="Times New Roman" w:hAnsi="Times New Roman"/>
          <w:color w:val="auto"/>
          <w:szCs w:val="21"/>
        </w:rPr>
        <w:t>食品蓝2</w:t>
      </w:r>
      <w:r>
        <w:rPr>
          <w:rFonts w:hint="eastAsia" w:ascii="Times New Roman" w:hAnsi="Times New Roman"/>
          <w:color w:val="auto"/>
          <w:szCs w:val="21"/>
          <w:lang w:eastAsia="zh-CN"/>
        </w:rPr>
        <w:t>，</w:t>
      </w:r>
      <w:r>
        <w:rPr>
          <w:rFonts w:hint="eastAsia" w:ascii="Times New Roman" w:hAnsi="Times New Roman"/>
          <w:color w:val="auto"/>
          <w:szCs w:val="21"/>
          <w:lang w:val="en-US" w:eastAsia="zh-CN"/>
        </w:rPr>
        <w:t>使用范围为</w:t>
      </w:r>
      <w:r>
        <w:rPr>
          <w:rFonts w:hint="eastAsia" w:ascii="Times New Roman" w:hAnsi="Times New Roman"/>
          <w:color w:val="auto"/>
          <w:szCs w:val="21"/>
        </w:rPr>
        <w:t>各种化妆品</w:t>
      </w:r>
      <w:r>
        <w:rPr>
          <w:rFonts w:hint="eastAsia" w:ascii="Times New Roman" w:hAnsi="Times New Roman"/>
          <w:color w:val="auto"/>
          <w:szCs w:val="21"/>
          <w:lang w:eastAsia="zh-CN"/>
        </w:rPr>
        <w:t>，</w:t>
      </w:r>
      <w:r>
        <w:rPr>
          <w:rFonts w:hint="eastAsia" w:ascii="Times New Roman" w:hAnsi="Times New Roman"/>
          <w:color w:val="auto"/>
          <w:szCs w:val="21"/>
          <w:lang w:val="en-US" w:eastAsia="zh-CN"/>
        </w:rPr>
        <w:t>其他限制和要求中，2-、3-和4-甲酰基苯磺酸（2-, 3- and 4-Formyl benzene sulfonic acids）总量不超过1.5%、3-(乙基(4-磺苯基)氨基)甲基苯磺酸（3-(Ethyl(4-sulfophenyl)amino)methyl benzene sulfonic acid）不超过0.3%、无色母体（Leuco base）不超过5.0%、未磺化芳香伯胺不超过0.01%（以苯胺计）</w:t>
      </w:r>
      <w:r>
        <w:rPr>
          <w:rFonts w:hint="eastAsia" w:ascii="Times New Roman" w:hAnsi="Times New Roman"/>
          <w:color w:val="auto"/>
          <w:szCs w:val="21"/>
        </w:rPr>
        <w:t>。</w:t>
      </w:r>
    </w:p>
    <w:p w14:paraId="07A3E839">
      <w:pPr>
        <w:spacing w:line="300" w:lineRule="auto"/>
        <w:ind w:firstLine="420" w:firstLineChars="200"/>
        <w:rPr>
          <w:rFonts w:hint="eastAsia" w:ascii="Times New Roman" w:hAnsi="Times New Roman"/>
          <w:color w:val="auto"/>
          <w:szCs w:val="21"/>
        </w:rPr>
      </w:pPr>
      <w:r>
        <w:rPr>
          <w:rFonts w:hint="eastAsia" w:ascii="Times New Roman" w:hAnsi="Times New Roman"/>
          <w:color w:val="auto"/>
          <w:szCs w:val="21"/>
        </w:rPr>
        <w:t>本次修订拟将CI 42090</w:t>
      </w:r>
      <w:r>
        <w:rPr>
          <w:rFonts w:hint="eastAsia" w:ascii="Times New Roman" w:hAnsi="Times New Roman"/>
          <w:color w:val="auto"/>
          <w:szCs w:val="21"/>
          <w:lang w:val="en-US" w:eastAsia="zh-CN"/>
        </w:rPr>
        <w:t>列入</w:t>
      </w:r>
      <w:r>
        <w:rPr>
          <w:rFonts w:hint="eastAsia" w:ascii="Times New Roman" w:hAnsi="Times New Roman"/>
          <w:color w:val="auto"/>
          <w:szCs w:val="21"/>
        </w:rPr>
        <w:t>《化妆品安全技术规范》</w:t>
      </w:r>
      <w:r>
        <w:rPr>
          <w:rFonts w:hint="eastAsia" w:ascii="Times New Roman" w:hAnsi="Times New Roman"/>
          <w:color w:val="auto"/>
          <w:szCs w:val="21"/>
          <w:lang w:val="en-US" w:eastAsia="zh-CN"/>
        </w:rPr>
        <w:t>化妆品</w:t>
      </w:r>
      <w:r>
        <w:rPr>
          <w:rFonts w:hint="eastAsia" w:ascii="Times New Roman" w:hAnsi="Times New Roman"/>
          <w:color w:val="auto"/>
          <w:szCs w:val="21"/>
        </w:rPr>
        <w:t>准用染发剂表（表7）中，非氧化型染发产品</w:t>
      </w:r>
      <w:r>
        <w:rPr>
          <w:rFonts w:hint="eastAsia" w:ascii="Times New Roman" w:hAnsi="Times New Roman"/>
          <w:color w:val="auto"/>
          <w:szCs w:val="21"/>
          <w:lang w:val="en-US" w:eastAsia="zh-CN"/>
        </w:rPr>
        <w:t>使用时的</w:t>
      </w:r>
      <w:r>
        <w:rPr>
          <w:rFonts w:hint="eastAsia" w:ascii="Times New Roman" w:hAnsi="Times New Roman"/>
          <w:color w:val="auto"/>
          <w:szCs w:val="21"/>
        </w:rPr>
        <w:t>最大允许使用浓度</w:t>
      </w:r>
      <w:r>
        <w:rPr>
          <w:rFonts w:hint="eastAsia" w:ascii="Times New Roman" w:hAnsi="Times New Roman"/>
          <w:color w:val="auto"/>
          <w:szCs w:val="21"/>
          <w:lang w:val="en-US" w:eastAsia="zh-CN"/>
        </w:rPr>
        <w:t>为</w:t>
      </w:r>
      <w:r>
        <w:rPr>
          <w:rFonts w:hint="eastAsia" w:ascii="Times New Roman" w:hAnsi="Times New Roman"/>
          <w:color w:val="auto"/>
          <w:szCs w:val="21"/>
        </w:rPr>
        <w:t>0.5%</w:t>
      </w:r>
      <w:r>
        <w:rPr>
          <w:rFonts w:hint="eastAsia" w:ascii="Times New Roman" w:hAnsi="Times New Roman"/>
          <w:color w:val="auto"/>
          <w:szCs w:val="21"/>
          <w:lang w:eastAsia="zh-CN"/>
        </w:rPr>
        <w:t>，</w:t>
      </w:r>
      <w:r>
        <w:rPr>
          <w:rFonts w:hint="eastAsia" w:ascii="Times New Roman" w:hAnsi="Times New Roman"/>
          <w:color w:val="auto"/>
          <w:szCs w:val="21"/>
        </w:rPr>
        <w:t>其他限制和要求</w:t>
      </w:r>
      <w:r>
        <w:rPr>
          <w:rFonts w:hint="eastAsia" w:ascii="Times New Roman" w:hAnsi="Times New Roman"/>
          <w:color w:val="auto"/>
          <w:szCs w:val="21"/>
          <w:lang w:val="en-US" w:eastAsia="zh-CN"/>
        </w:rPr>
        <w:t>中，</w:t>
      </w:r>
      <w:r>
        <w:rPr>
          <w:rFonts w:hint="eastAsia" w:ascii="Times New Roman" w:hAnsi="Times New Roman"/>
          <w:color w:val="auto"/>
          <w:szCs w:val="21"/>
          <w:highlight w:val="none"/>
        </w:rPr>
        <w:t>所用染料纯度不得</w:t>
      </w:r>
      <w:r>
        <w:rPr>
          <w:rFonts w:hint="eastAsia" w:ascii="Times New Roman" w:hAnsi="Times New Roman"/>
          <w:color w:val="auto"/>
          <w:szCs w:val="21"/>
          <w:highlight w:val="none"/>
          <w:lang w:val="en-US" w:eastAsia="zh-CN"/>
        </w:rPr>
        <w:t>小于</w:t>
      </w:r>
      <w:r>
        <w:rPr>
          <w:rFonts w:hint="eastAsia" w:ascii="Times New Roman" w:hAnsi="Times New Roman"/>
          <w:color w:val="auto"/>
          <w:szCs w:val="21"/>
          <w:highlight w:val="none"/>
        </w:rPr>
        <w:t>8</w:t>
      </w:r>
      <w:r>
        <w:rPr>
          <w:rFonts w:hint="eastAsia" w:ascii="Times New Roman" w:hAnsi="Times New Roman"/>
          <w:color w:val="auto"/>
          <w:szCs w:val="21"/>
          <w:highlight w:val="none"/>
          <w:lang w:val="en-US" w:eastAsia="zh-CN"/>
        </w:rPr>
        <w:t>5</w:t>
      </w:r>
      <w:r>
        <w:rPr>
          <w:rFonts w:hint="eastAsia" w:ascii="Times New Roman" w:hAnsi="Times New Roman"/>
          <w:color w:val="auto"/>
          <w:szCs w:val="21"/>
          <w:highlight w:val="none"/>
        </w:rPr>
        <w:t>%</w:t>
      </w:r>
      <w:r>
        <w:rPr>
          <w:rFonts w:hint="eastAsia" w:ascii="Times New Roman" w:hAnsi="Times New Roman"/>
          <w:color w:val="auto"/>
          <w:szCs w:val="21"/>
        </w:rPr>
        <w:t>，</w:t>
      </w:r>
      <w:r>
        <w:rPr>
          <w:rFonts w:hint="eastAsia" w:ascii="Times New Roman" w:hAnsi="Times New Roman"/>
          <w:color w:val="auto"/>
          <w:szCs w:val="21"/>
          <w:lang w:val="en-US" w:eastAsia="zh-CN"/>
        </w:rPr>
        <w:t>2-、3-和4-甲酰基苯磺酸（2-, 3- and 4-Formyl benzene sulfonic acids）总量不超过1.5%、3-(乙基(4-磺苯基)氨基)甲基苯磺酸（3-(Ethyl(4-sulfophenyl)amino)methyl benzene sulfonic acid）不超过0.3%、无色母体（Leuco base）不超过5.0%、未磺化芳香伯胺不超过0.01%（以苯胺计）</w:t>
      </w:r>
      <w:r>
        <w:rPr>
          <w:rFonts w:hint="eastAsia" w:ascii="Times New Roman" w:hAnsi="Times New Roman"/>
          <w:color w:val="auto"/>
          <w:szCs w:val="21"/>
        </w:rPr>
        <w:t>。</w:t>
      </w:r>
    </w:p>
    <w:p w14:paraId="06AC3171">
      <w:pPr>
        <w:pStyle w:val="17"/>
        <w:numPr>
          <w:ilvl w:val="0"/>
          <w:numId w:val="1"/>
        </w:numPr>
        <w:spacing w:before="156" w:beforeLines="50" w:after="156" w:afterLines="50" w:line="300" w:lineRule="auto"/>
        <w:ind w:firstLineChars="0"/>
        <w:rPr>
          <w:rFonts w:ascii="Times New Roman" w:hAnsi="Times New Roman" w:eastAsia="黑体"/>
          <w:color w:val="auto"/>
          <w:szCs w:val="21"/>
        </w:rPr>
      </w:pPr>
      <w:r>
        <w:rPr>
          <w:rFonts w:hint="eastAsia" w:ascii="Times New Roman" w:hAnsi="Times New Roman" w:eastAsia="黑体"/>
          <w:color w:val="auto"/>
          <w:szCs w:val="21"/>
        </w:rPr>
        <w:t>与国际同类标准的关系</w:t>
      </w:r>
    </w:p>
    <w:p w14:paraId="49C0C337">
      <w:pPr>
        <w:spacing w:line="300" w:lineRule="auto"/>
        <w:ind w:firstLine="420" w:firstLineChars="200"/>
        <w:rPr>
          <w:rFonts w:hint="eastAsia" w:ascii="Times New Roman" w:hAnsi="Times New Roman"/>
          <w:color w:val="auto"/>
          <w:szCs w:val="21"/>
        </w:rPr>
      </w:pPr>
      <w:r>
        <w:rPr>
          <w:rFonts w:hint="eastAsia" w:ascii="Times New Roman" w:hAnsi="Times New Roman"/>
          <w:color w:val="auto"/>
          <w:szCs w:val="21"/>
        </w:rPr>
        <w:t>CI 42090</w:t>
      </w:r>
      <w:r>
        <w:rPr>
          <w:rFonts w:hint="eastAsia" w:ascii="Times New Roman" w:hAnsi="Times New Roman"/>
          <w:color w:val="auto"/>
          <w:szCs w:val="21"/>
          <w:lang w:val="en-US" w:eastAsia="zh-CN"/>
        </w:rPr>
        <w:t>同时</w:t>
      </w:r>
      <w:r>
        <w:rPr>
          <w:rFonts w:hint="default" w:ascii="Times New Roman" w:hAnsi="Times New Roman" w:cs="Times New Roman"/>
          <w:color w:val="auto"/>
          <w:szCs w:val="21"/>
        </w:rPr>
        <w:t>收录于《欧盟化妆品法规（EC）No 1223/2009》附录Ⅲ（化妆品限制使用的物质清单）和附录Ⅳ（化妆品准用着色剂清单）</w:t>
      </w:r>
      <w:r>
        <w:rPr>
          <w:rFonts w:hint="default" w:ascii="Times New Roman" w:hAnsi="Times New Roman" w:cs="Times New Roman"/>
          <w:color w:val="auto"/>
          <w:szCs w:val="21"/>
          <w:lang w:eastAsia="zh-CN"/>
        </w:rPr>
        <w:t>，</w:t>
      </w:r>
      <w:r>
        <w:rPr>
          <w:rFonts w:hint="default" w:ascii="Times New Roman" w:hAnsi="Times New Roman" w:cs="Times New Roman"/>
          <w:color w:val="auto"/>
          <w:szCs w:val="21"/>
        </w:rPr>
        <w:t>附录Ⅲ</w:t>
      </w:r>
      <w:r>
        <w:rPr>
          <w:rFonts w:hint="default" w:ascii="Times New Roman" w:hAnsi="Times New Roman" w:cs="Times New Roman"/>
          <w:color w:val="auto"/>
          <w:szCs w:val="21"/>
          <w:lang w:val="en-US" w:eastAsia="zh-CN"/>
        </w:rPr>
        <w:t>规定其在</w:t>
      </w:r>
      <w:r>
        <w:rPr>
          <w:rFonts w:hint="default" w:ascii="Times New Roman" w:hAnsi="Times New Roman" w:cs="Times New Roman"/>
          <w:color w:val="auto"/>
          <w:szCs w:val="21"/>
        </w:rPr>
        <w:t>非氧化型染发产品中的最大使用浓度为0.5%。附录Ⅳ</w:t>
      </w:r>
      <w:r>
        <w:rPr>
          <w:rFonts w:hint="default" w:ascii="Times New Roman" w:hAnsi="Times New Roman" w:cs="Times New Roman"/>
          <w:color w:val="auto"/>
          <w:szCs w:val="21"/>
          <w:lang w:val="en-US" w:eastAsia="zh-CN"/>
        </w:rPr>
        <w:t>规定其纯度应符合原欧盟委员会指令95/45/EC</w:t>
      </w:r>
      <w:r>
        <w:rPr>
          <w:rFonts w:hint="default" w:ascii="Times New Roman" w:hAnsi="Times New Roman" w:cs="Times New Roman"/>
          <w:color w:val="auto"/>
          <w:szCs w:val="21"/>
          <w:lang w:eastAsia="zh-CN"/>
        </w:rPr>
        <w:t>的</w:t>
      </w:r>
      <w:r>
        <w:rPr>
          <w:rFonts w:hint="default" w:ascii="Times New Roman" w:hAnsi="Times New Roman" w:cs="Times New Roman"/>
          <w:color w:val="auto"/>
          <w:szCs w:val="21"/>
          <w:lang w:val="en-US" w:eastAsia="zh-CN"/>
        </w:rPr>
        <w:t>相关要求，</w:t>
      </w:r>
      <w:r>
        <w:rPr>
          <w:rFonts w:hint="eastAsia" w:ascii="Times New Roman" w:hAnsi="Times New Roman"/>
          <w:color w:val="auto"/>
          <w:szCs w:val="21"/>
          <w:highlight w:val="none"/>
        </w:rPr>
        <w:t>染料纯度不得</w:t>
      </w:r>
      <w:r>
        <w:rPr>
          <w:rFonts w:hint="eastAsia" w:ascii="Times New Roman" w:hAnsi="Times New Roman"/>
          <w:color w:val="auto"/>
          <w:szCs w:val="21"/>
          <w:highlight w:val="none"/>
          <w:lang w:val="en-US" w:eastAsia="zh-CN"/>
        </w:rPr>
        <w:t>小于</w:t>
      </w:r>
      <w:r>
        <w:rPr>
          <w:rFonts w:hint="eastAsia" w:ascii="Times New Roman" w:hAnsi="Times New Roman"/>
          <w:color w:val="auto"/>
          <w:szCs w:val="21"/>
          <w:highlight w:val="none"/>
        </w:rPr>
        <w:t>8</w:t>
      </w:r>
      <w:r>
        <w:rPr>
          <w:rFonts w:hint="eastAsia" w:ascii="Times New Roman" w:hAnsi="Times New Roman"/>
          <w:color w:val="auto"/>
          <w:szCs w:val="21"/>
          <w:highlight w:val="none"/>
          <w:lang w:val="en-US" w:eastAsia="zh-CN"/>
        </w:rPr>
        <w:t>5</w:t>
      </w:r>
      <w:r>
        <w:rPr>
          <w:rFonts w:hint="eastAsia" w:ascii="Times New Roman" w:hAnsi="Times New Roman"/>
          <w:color w:val="auto"/>
          <w:szCs w:val="21"/>
          <w:highlight w:val="none"/>
        </w:rPr>
        <w:t>%</w:t>
      </w:r>
      <w:r>
        <w:rPr>
          <w:rFonts w:hint="eastAsia" w:ascii="Times New Roman" w:hAnsi="Times New Roman"/>
          <w:color w:val="auto"/>
          <w:szCs w:val="21"/>
          <w:highlight w:val="none"/>
          <w:lang w:eastAsia="zh-CN"/>
        </w:rPr>
        <w:t>、</w:t>
      </w:r>
      <w:r>
        <w:rPr>
          <w:rFonts w:hint="eastAsia" w:ascii="Times New Roman" w:hAnsi="Times New Roman"/>
          <w:color w:val="auto"/>
          <w:szCs w:val="21"/>
          <w:lang w:val="en-US" w:eastAsia="zh-CN"/>
        </w:rPr>
        <w:t>2-、3-和4-甲酰基苯磺酸（2-, 3- and 4-Formyl benzene sulfonic acids）总量不超过1.5%、3-(乙基(4-磺苯基)氨基)甲基苯磺酸（3-(Ethyl(4-sulfophenyl)amino)methyl benzene sulfonic acid）不超过0.3%、无色母体（Leuco base）不超过5.0%、未磺化芳香伯胺不超过0.01%（以苯胺计）等，美国相关纯度要求与欧盟基本一致。</w:t>
      </w:r>
    </w:p>
    <w:p w14:paraId="44C33E54">
      <w:pPr>
        <w:pStyle w:val="17"/>
        <w:numPr>
          <w:ilvl w:val="0"/>
          <w:numId w:val="1"/>
        </w:numPr>
        <w:spacing w:before="156" w:beforeLines="50" w:after="156" w:afterLines="50" w:line="300" w:lineRule="auto"/>
        <w:ind w:firstLineChars="0"/>
        <w:rPr>
          <w:rFonts w:ascii="Times New Roman" w:hAnsi="Times New Roman" w:eastAsia="黑体"/>
          <w:color w:val="auto"/>
          <w:szCs w:val="21"/>
        </w:rPr>
      </w:pPr>
      <w:r>
        <w:rPr>
          <w:rFonts w:hint="eastAsia" w:ascii="Times New Roman" w:hAnsi="Times New Roman" w:eastAsia="黑体"/>
          <w:color w:val="auto"/>
          <w:szCs w:val="21"/>
        </w:rPr>
        <w:t>其他需要说明的问题</w:t>
      </w:r>
    </w:p>
    <w:p w14:paraId="62EF73E6">
      <w:pPr>
        <w:spacing w:line="300" w:lineRule="auto"/>
        <w:ind w:firstLine="420" w:firstLineChars="200"/>
        <w:rPr>
          <w:rFonts w:ascii="Times New Roman" w:hAnsi="Times New Roman"/>
          <w:color w:val="auto"/>
          <w:szCs w:val="21"/>
        </w:rPr>
      </w:pPr>
      <w:r>
        <w:rPr>
          <w:rFonts w:hint="eastAsia" w:ascii="Times New Roman" w:hAnsi="Times New Roman"/>
          <w:color w:val="auto"/>
          <w:szCs w:val="21"/>
          <w:lang w:val="en-US" w:eastAsia="zh-CN"/>
        </w:rPr>
        <w:t>无</w:t>
      </w:r>
      <w:r>
        <w:rPr>
          <w:rFonts w:hint="eastAsia" w:ascii="Times New Roman" w:hAnsi="Times New Roman"/>
          <w:color w:val="auto"/>
          <w:szCs w:val="21"/>
        </w:rPr>
        <w:t>。</w:t>
      </w:r>
    </w:p>
    <w:p w14:paraId="5453067E">
      <w:pPr>
        <w:widowControl/>
        <w:jc w:val="left"/>
        <w:rPr>
          <w:rFonts w:ascii="Times New Roman" w:hAnsi="Times New Roman" w:eastAsia="黑体"/>
          <w:color w:val="auto"/>
          <w:kern w:val="0"/>
          <w:sz w:val="32"/>
          <w:szCs w:val="32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83281"/>
    </w:sdtPr>
    <w:sdtContent>
      <w:p w14:paraId="0CDE9F9C"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7B5C4D0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62983504"/>
    </w:sdtPr>
    <w:sdtContent>
      <w:p w14:paraId="73A67B6F"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4DA34E7"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132726"/>
    <w:multiLevelType w:val="multilevel"/>
    <w:tmpl w:val="42132726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248"/>
    <w:rsid w:val="000104FE"/>
    <w:rsid w:val="00024596"/>
    <w:rsid w:val="00041361"/>
    <w:rsid w:val="00082020"/>
    <w:rsid w:val="00094B85"/>
    <w:rsid w:val="000F4558"/>
    <w:rsid w:val="001176C6"/>
    <w:rsid w:val="00123056"/>
    <w:rsid w:val="001268AA"/>
    <w:rsid w:val="001418E4"/>
    <w:rsid w:val="00147EF2"/>
    <w:rsid w:val="00163440"/>
    <w:rsid w:val="00192C72"/>
    <w:rsid w:val="001D2A3C"/>
    <w:rsid w:val="001E17D3"/>
    <w:rsid w:val="001E465A"/>
    <w:rsid w:val="001E76A8"/>
    <w:rsid w:val="00212CDD"/>
    <w:rsid w:val="002438F3"/>
    <w:rsid w:val="00250D9C"/>
    <w:rsid w:val="002541F6"/>
    <w:rsid w:val="002616EC"/>
    <w:rsid w:val="0026618E"/>
    <w:rsid w:val="00277CAB"/>
    <w:rsid w:val="002852A9"/>
    <w:rsid w:val="002B64BC"/>
    <w:rsid w:val="002D55D0"/>
    <w:rsid w:val="002E0D7C"/>
    <w:rsid w:val="002E61BB"/>
    <w:rsid w:val="002E69B1"/>
    <w:rsid w:val="002E6E71"/>
    <w:rsid w:val="002F7054"/>
    <w:rsid w:val="00306BCD"/>
    <w:rsid w:val="00316466"/>
    <w:rsid w:val="00334477"/>
    <w:rsid w:val="003446F9"/>
    <w:rsid w:val="0036344F"/>
    <w:rsid w:val="00397A3B"/>
    <w:rsid w:val="003A0064"/>
    <w:rsid w:val="003A017E"/>
    <w:rsid w:val="003C1ABB"/>
    <w:rsid w:val="003D2265"/>
    <w:rsid w:val="00407A91"/>
    <w:rsid w:val="00423D84"/>
    <w:rsid w:val="004532A0"/>
    <w:rsid w:val="00455503"/>
    <w:rsid w:val="00457B40"/>
    <w:rsid w:val="004711B2"/>
    <w:rsid w:val="00484E81"/>
    <w:rsid w:val="00492DF7"/>
    <w:rsid w:val="004A1862"/>
    <w:rsid w:val="004B7568"/>
    <w:rsid w:val="004C13A6"/>
    <w:rsid w:val="004C3E02"/>
    <w:rsid w:val="004C6578"/>
    <w:rsid w:val="004D3073"/>
    <w:rsid w:val="004D72F4"/>
    <w:rsid w:val="004E2249"/>
    <w:rsid w:val="004E760D"/>
    <w:rsid w:val="005211D5"/>
    <w:rsid w:val="00536731"/>
    <w:rsid w:val="00536E7B"/>
    <w:rsid w:val="0054174F"/>
    <w:rsid w:val="005728F3"/>
    <w:rsid w:val="0058230E"/>
    <w:rsid w:val="00583FA2"/>
    <w:rsid w:val="00587540"/>
    <w:rsid w:val="00595FF1"/>
    <w:rsid w:val="00597BC2"/>
    <w:rsid w:val="005A46DE"/>
    <w:rsid w:val="005C5033"/>
    <w:rsid w:val="005F3533"/>
    <w:rsid w:val="00602359"/>
    <w:rsid w:val="006215A9"/>
    <w:rsid w:val="00625AF9"/>
    <w:rsid w:val="00626C5E"/>
    <w:rsid w:val="006700EF"/>
    <w:rsid w:val="006732AA"/>
    <w:rsid w:val="00685F80"/>
    <w:rsid w:val="006878AA"/>
    <w:rsid w:val="00692B7B"/>
    <w:rsid w:val="00693AEF"/>
    <w:rsid w:val="006A12D5"/>
    <w:rsid w:val="006A2700"/>
    <w:rsid w:val="006C063B"/>
    <w:rsid w:val="006C0F22"/>
    <w:rsid w:val="006C116A"/>
    <w:rsid w:val="006C7CFA"/>
    <w:rsid w:val="006C7E5F"/>
    <w:rsid w:val="006D0667"/>
    <w:rsid w:val="006D6717"/>
    <w:rsid w:val="006D786E"/>
    <w:rsid w:val="006E5FD3"/>
    <w:rsid w:val="00707DC6"/>
    <w:rsid w:val="007208ED"/>
    <w:rsid w:val="00722060"/>
    <w:rsid w:val="00723719"/>
    <w:rsid w:val="007657F6"/>
    <w:rsid w:val="0077075D"/>
    <w:rsid w:val="00782629"/>
    <w:rsid w:val="00786607"/>
    <w:rsid w:val="00787971"/>
    <w:rsid w:val="007A7C7F"/>
    <w:rsid w:val="007B0FC3"/>
    <w:rsid w:val="007C2A05"/>
    <w:rsid w:val="007D7B4E"/>
    <w:rsid w:val="007E0B75"/>
    <w:rsid w:val="0080296E"/>
    <w:rsid w:val="00823585"/>
    <w:rsid w:val="00850D16"/>
    <w:rsid w:val="008651ED"/>
    <w:rsid w:val="00865AAF"/>
    <w:rsid w:val="00873322"/>
    <w:rsid w:val="00875B5E"/>
    <w:rsid w:val="0089524C"/>
    <w:rsid w:val="008A0197"/>
    <w:rsid w:val="008C79D4"/>
    <w:rsid w:val="008C7F73"/>
    <w:rsid w:val="008D4A42"/>
    <w:rsid w:val="008F04CD"/>
    <w:rsid w:val="0090663A"/>
    <w:rsid w:val="00943A50"/>
    <w:rsid w:val="00971523"/>
    <w:rsid w:val="00973CCA"/>
    <w:rsid w:val="009A2B65"/>
    <w:rsid w:val="009C581D"/>
    <w:rsid w:val="009D5D1B"/>
    <w:rsid w:val="009E1802"/>
    <w:rsid w:val="009E7ECE"/>
    <w:rsid w:val="00A0065E"/>
    <w:rsid w:val="00A13460"/>
    <w:rsid w:val="00A54D52"/>
    <w:rsid w:val="00A55369"/>
    <w:rsid w:val="00A55B86"/>
    <w:rsid w:val="00A67486"/>
    <w:rsid w:val="00A92D49"/>
    <w:rsid w:val="00AA241C"/>
    <w:rsid w:val="00AB27CE"/>
    <w:rsid w:val="00AC2D57"/>
    <w:rsid w:val="00AE2D55"/>
    <w:rsid w:val="00B04C72"/>
    <w:rsid w:val="00B1264F"/>
    <w:rsid w:val="00B60A53"/>
    <w:rsid w:val="00B74440"/>
    <w:rsid w:val="00B824D6"/>
    <w:rsid w:val="00B916C8"/>
    <w:rsid w:val="00B9641D"/>
    <w:rsid w:val="00BB43B5"/>
    <w:rsid w:val="00BB5F9F"/>
    <w:rsid w:val="00BC028D"/>
    <w:rsid w:val="00BC489F"/>
    <w:rsid w:val="00BD0898"/>
    <w:rsid w:val="00BD4DA2"/>
    <w:rsid w:val="00BE5FB2"/>
    <w:rsid w:val="00C165D1"/>
    <w:rsid w:val="00C17259"/>
    <w:rsid w:val="00C4775D"/>
    <w:rsid w:val="00C623F3"/>
    <w:rsid w:val="00C815B7"/>
    <w:rsid w:val="00C90327"/>
    <w:rsid w:val="00C9123B"/>
    <w:rsid w:val="00CA1304"/>
    <w:rsid w:val="00CB361B"/>
    <w:rsid w:val="00CB4E76"/>
    <w:rsid w:val="00CF0597"/>
    <w:rsid w:val="00D02E25"/>
    <w:rsid w:val="00D171ED"/>
    <w:rsid w:val="00D26D65"/>
    <w:rsid w:val="00D65D0A"/>
    <w:rsid w:val="00D70A10"/>
    <w:rsid w:val="00D96194"/>
    <w:rsid w:val="00DD0CC7"/>
    <w:rsid w:val="00DD216B"/>
    <w:rsid w:val="00DF3C15"/>
    <w:rsid w:val="00DF4FB9"/>
    <w:rsid w:val="00E03DE6"/>
    <w:rsid w:val="00E25914"/>
    <w:rsid w:val="00E26248"/>
    <w:rsid w:val="00E4552F"/>
    <w:rsid w:val="00E50261"/>
    <w:rsid w:val="00E502B5"/>
    <w:rsid w:val="00E554F3"/>
    <w:rsid w:val="00E56CF2"/>
    <w:rsid w:val="00E57D6E"/>
    <w:rsid w:val="00E60BF1"/>
    <w:rsid w:val="00E671DC"/>
    <w:rsid w:val="00E871D3"/>
    <w:rsid w:val="00EA4B23"/>
    <w:rsid w:val="00EB1B55"/>
    <w:rsid w:val="00EB5B58"/>
    <w:rsid w:val="00EC287A"/>
    <w:rsid w:val="00EE210E"/>
    <w:rsid w:val="00F03710"/>
    <w:rsid w:val="00F273CD"/>
    <w:rsid w:val="00F51601"/>
    <w:rsid w:val="00F54FEC"/>
    <w:rsid w:val="00F81B0D"/>
    <w:rsid w:val="00F85120"/>
    <w:rsid w:val="00F86206"/>
    <w:rsid w:val="00F9638E"/>
    <w:rsid w:val="00F970C3"/>
    <w:rsid w:val="00FB674E"/>
    <w:rsid w:val="00FC35F8"/>
    <w:rsid w:val="00FD16F0"/>
    <w:rsid w:val="00FD4BC8"/>
    <w:rsid w:val="00FE2952"/>
    <w:rsid w:val="00FE7719"/>
    <w:rsid w:val="00FF7FC2"/>
    <w:rsid w:val="02943EB9"/>
    <w:rsid w:val="06493CDF"/>
    <w:rsid w:val="0BD9237C"/>
    <w:rsid w:val="14830B66"/>
    <w:rsid w:val="17C5767B"/>
    <w:rsid w:val="19CC7D69"/>
    <w:rsid w:val="235042E9"/>
    <w:rsid w:val="301847F0"/>
    <w:rsid w:val="322E4D8A"/>
    <w:rsid w:val="339C0BAF"/>
    <w:rsid w:val="362637F6"/>
    <w:rsid w:val="3E924FBF"/>
    <w:rsid w:val="3F7F7575"/>
    <w:rsid w:val="409413BC"/>
    <w:rsid w:val="423B76D5"/>
    <w:rsid w:val="4A8B55DB"/>
    <w:rsid w:val="4AE05C09"/>
    <w:rsid w:val="4CA960C3"/>
    <w:rsid w:val="4DB37CB1"/>
    <w:rsid w:val="4F9125EA"/>
    <w:rsid w:val="51C63778"/>
    <w:rsid w:val="52383886"/>
    <w:rsid w:val="5301166B"/>
    <w:rsid w:val="59084281"/>
    <w:rsid w:val="593E7CA2"/>
    <w:rsid w:val="5C3D2493"/>
    <w:rsid w:val="5E5577D9"/>
    <w:rsid w:val="5F707674"/>
    <w:rsid w:val="61073840"/>
    <w:rsid w:val="676E3E49"/>
    <w:rsid w:val="687F775E"/>
    <w:rsid w:val="742A74F9"/>
    <w:rsid w:val="75AD4F26"/>
    <w:rsid w:val="770E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2"/>
    <w:semiHidden/>
    <w:unhideWhenUsed/>
    <w:qFormat/>
    <w:uiPriority w:val="99"/>
    <w:pPr>
      <w:jc w:val="left"/>
    </w:pPr>
  </w:style>
  <w:style w:type="paragraph" w:styleId="4">
    <w:name w:val="Body Text Indent"/>
    <w:basedOn w:val="1"/>
    <w:link w:val="24"/>
    <w:semiHidden/>
    <w:unhideWhenUsed/>
    <w:qFormat/>
    <w:uiPriority w:val="99"/>
    <w:pPr>
      <w:spacing w:after="120"/>
      <w:ind w:left="420" w:leftChars="200"/>
    </w:pPr>
  </w:style>
  <w:style w:type="paragraph" w:styleId="5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autoRedefine/>
    <w:unhideWhenUsed/>
    <w:qFormat/>
    <w:uiPriority w:val="39"/>
  </w:style>
  <w:style w:type="paragraph" w:styleId="9">
    <w:name w:val="Body Text First Indent 2"/>
    <w:basedOn w:val="4"/>
    <w:link w:val="25"/>
    <w:semiHidden/>
    <w:unhideWhenUsed/>
    <w:qFormat/>
    <w:uiPriority w:val="99"/>
    <w:pPr>
      <w:ind w:firstLine="420" w:firstLineChars="200"/>
    </w:pPr>
    <w:rPr>
      <w:szCs w:val="24"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4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5">
    <w:name w:val="页眉 Char"/>
    <w:basedOn w:val="12"/>
    <w:link w:val="7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6">
    <w:name w:val="页脚 Char"/>
    <w:basedOn w:val="12"/>
    <w:link w:val="6"/>
    <w:qFormat/>
    <w:uiPriority w:val="99"/>
    <w:rPr>
      <w:rFonts w:ascii="Calibri" w:hAnsi="Calibri" w:eastAsia="宋体" w:cs="Times New Roman"/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paragraph" w:customStyle="1" w:styleId="18">
    <w:name w:val="修订1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9">
    <w:name w:val="标题 1 Char"/>
    <w:basedOn w:val="12"/>
    <w:link w:val="2"/>
    <w:qFormat/>
    <w:uiPriority w:val="9"/>
    <w:rPr>
      <w:rFonts w:ascii="Calibri" w:hAnsi="Calibri" w:eastAsia="宋体" w:cs="Times New Roman"/>
      <w:b/>
      <w:bCs/>
      <w:kern w:val="44"/>
      <w:sz w:val="44"/>
      <w:szCs w:val="44"/>
    </w:rPr>
  </w:style>
  <w:style w:type="paragraph" w:customStyle="1" w:styleId="20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kern w:val="0"/>
      <w:sz w:val="32"/>
      <w:szCs w:val="32"/>
    </w:rPr>
  </w:style>
  <w:style w:type="paragraph" w:customStyle="1" w:styleId="21">
    <w:name w:val="样式1"/>
    <w:basedOn w:val="1"/>
    <w:next w:val="1"/>
    <w:qFormat/>
    <w:uiPriority w:val="0"/>
    <w:pPr>
      <w:ind w:firstLine="602" w:firstLineChars="200"/>
    </w:pPr>
    <w:rPr>
      <w:rFonts w:ascii="仿宋" w:hAnsi="仿宋" w:eastAsia="仿宋"/>
      <w:sz w:val="30"/>
      <w:szCs w:val="30"/>
    </w:rPr>
  </w:style>
  <w:style w:type="character" w:customStyle="1" w:styleId="22">
    <w:name w:val="批注文字 Char"/>
    <w:basedOn w:val="12"/>
    <w:link w:val="3"/>
    <w:semiHidden/>
    <w:qFormat/>
    <w:uiPriority w:val="99"/>
    <w:rPr>
      <w:rFonts w:ascii="Calibri" w:hAnsi="Calibri" w:eastAsia="宋体" w:cs="Times New Roman"/>
    </w:rPr>
  </w:style>
  <w:style w:type="character" w:customStyle="1" w:styleId="23">
    <w:name w:val="批注框文本 Char"/>
    <w:basedOn w:val="12"/>
    <w:link w:val="5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24">
    <w:name w:val="正文文本缩进 Char"/>
    <w:basedOn w:val="12"/>
    <w:link w:val="4"/>
    <w:semiHidden/>
    <w:qFormat/>
    <w:uiPriority w:val="99"/>
    <w:rPr>
      <w:rFonts w:ascii="Calibri" w:hAnsi="Calibri" w:eastAsia="宋体" w:cs="Times New Roman"/>
      <w:kern w:val="2"/>
      <w:sz w:val="21"/>
      <w:szCs w:val="22"/>
    </w:rPr>
  </w:style>
  <w:style w:type="character" w:customStyle="1" w:styleId="25">
    <w:name w:val="正文首行缩进 2 Char"/>
    <w:basedOn w:val="24"/>
    <w:link w:val="9"/>
    <w:semiHidden/>
    <w:qFormat/>
    <w:uiPriority w:val="99"/>
    <w:rPr>
      <w:rFonts w:ascii="Calibri" w:hAnsi="Calibri" w:eastAsia="宋体" w:cs="Times New Roman"/>
      <w:kern w:val="2"/>
      <w:sz w:val="21"/>
      <w:szCs w:val="24"/>
    </w:rPr>
  </w:style>
  <w:style w:type="paragraph" w:customStyle="1" w:styleId="26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97568-E58B-47D1-96C7-BA37253DF2A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1167</Words>
  <Characters>1698</Characters>
  <Lines>14</Lines>
  <Paragraphs>4</Paragraphs>
  <TotalTime>3</TotalTime>
  <ScaleCrop>false</ScaleCrop>
  <LinksUpToDate>false</LinksUpToDate>
  <CharactersWithSpaces>1756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2025-12-04T01:52:00Z</dcterms:created>
  <dc:creator>裴新荣</dc:creator>
  <cp:lastModifiedBy>黄湘鹭</cp:lastModifiedBy>
  <cp:lastPrinted>2025-09-04T05:08:00Z</cp:lastPrinted>
  <dcterms:modified xsi:type="dcterms:W3CDTF">2026-08-04T02:19:52Z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eyJoZGlkIjoiMzc5ZTU2MThkNmRiZDhiYTk2MzdjZDYxYTYzNzRmY2MiLCJ1c2VySWQiOiI0MDU1NDk1NzYifQ==</vt:lpwstr>
  </property>
  <property fmtid="{D5CDD505-2E9C-101B-9397-08002B2CF9AE}" pid="3" name="KSOProductBuildVer">
    <vt:lpwstr>2052-12.1.0.28043</vt:lpwstr>
  </property>
  <property fmtid="{D5CDD505-2E9C-101B-9397-08002B2CF9AE}" pid="4" name="ICV">
    <vt:lpwstr>038BA95CA10A48C6BD59D69FF62B081D_13</vt:lpwstr>
  </property>
</Properties>
</file>