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EC9EE">
      <w:pPr>
        <w:spacing w:before="156" w:beforeLines="50" w:after="156" w:afterLines="50" w:line="300" w:lineRule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bookmarkStart w:id="0" w:name="_Toc214370611"/>
      <w:r>
        <w:rPr>
          <w:rFonts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7</w:t>
      </w:r>
    </w:p>
    <w:p w14:paraId="4C26DB40">
      <w:pPr>
        <w:keepNext w:val="0"/>
        <w:keepLines w:val="0"/>
        <w:pageBreakBefore w:val="0"/>
        <w:widowControl/>
        <w:tabs>
          <w:tab w:val="right" w:leader="dot" w:pos="88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ascii="Times New Roman" w:hAnsi="Times New Roman" w:eastAsia="黑体"/>
          <w:color w:val="auto"/>
          <w:kern w:val="0"/>
          <w:sz w:val="20"/>
          <w:szCs w:val="20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val="en-US" w:eastAsia="zh-CN"/>
        </w:rPr>
        <w:t>CI 42520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（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val="en-US" w:eastAsia="zh-CN"/>
        </w:rPr>
        <w:t>征求意见稿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</w:rPr>
        <w:t>）</w:t>
      </w:r>
    </w:p>
    <w:tbl>
      <w:tblPr>
        <w:tblStyle w:val="7"/>
        <w:tblpPr w:leftFromText="180" w:rightFromText="180" w:vertAnchor="text" w:horzAnchor="page" w:tblpXSpec="center" w:tblpY="217"/>
        <w:tblOverlap w:val="never"/>
        <w:tblW w:w="5099" w:type="pct"/>
        <w:tblInd w:w="-2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904"/>
        <w:gridCol w:w="2164"/>
        <w:gridCol w:w="2165"/>
        <w:gridCol w:w="1685"/>
        <w:gridCol w:w="2055"/>
        <w:gridCol w:w="1401"/>
        <w:gridCol w:w="1951"/>
      </w:tblGrid>
      <w:tr w14:paraId="28EDA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1919D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章节</w:t>
            </w:r>
          </w:p>
        </w:tc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D9E6D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序号</w:t>
            </w:r>
          </w:p>
        </w:tc>
        <w:tc>
          <w:tcPr>
            <w:tcW w:w="1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DEF0C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物质名称</w:t>
            </w:r>
          </w:p>
        </w:tc>
        <w:tc>
          <w:tcPr>
            <w:tcW w:w="13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93A5F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化妆品使用时的最大允许浓度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8E6F8C9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其他限制和要求</w:t>
            </w:r>
          </w:p>
        </w:tc>
        <w:tc>
          <w:tcPr>
            <w:tcW w:w="6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56BE836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标签上必须标印的使用条件和注意事项</w:t>
            </w:r>
          </w:p>
        </w:tc>
      </w:tr>
      <w:tr w14:paraId="7104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2E663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auto"/>
                <w:sz w:val="24"/>
              </w:rPr>
            </w:pPr>
          </w:p>
        </w:tc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D86D6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auto"/>
                <w:sz w:val="24"/>
              </w:rPr>
            </w:pP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3A199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中文名称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E7A70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INCI名称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B64C1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氧化型</w:t>
            </w:r>
          </w:p>
          <w:p w14:paraId="656365A2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染发产品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6F34D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非氧化型</w:t>
            </w:r>
          </w:p>
          <w:p w14:paraId="0A96CF0E">
            <w:pPr>
              <w:jc w:val="center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</w:rPr>
              <w:t>染发产品</w:t>
            </w:r>
          </w:p>
        </w:tc>
        <w:tc>
          <w:tcPr>
            <w:tcW w:w="4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CF55E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auto"/>
                <w:sz w:val="24"/>
              </w:rPr>
            </w:pPr>
          </w:p>
        </w:tc>
        <w:tc>
          <w:tcPr>
            <w:tcW w:w="6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B1DE9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auto"/>
                <w:sz w:val="24"/>
              </w:rPr>
            </w:pPr>
          </w:p>
        </w:tc>
      </w:tr>
      <w:tr w14:paraId="014A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583D6">
            <w:pPr>
              <w:jc w:val="center"/>
              <w:rPr>
                <w:rFonts w:ascii="Times New Roman" w:hAnsi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</w:rPr>
              <w:t>第三章4化妆品准用染发剂（表7）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92EDD">
            <w:pPr>
              <w:jc w:val="center"/>
              <w:rPr>
                <w:rFonts w:hint="default" w:ascii="Times New Roman" w:hAnsi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  <w:lang w:val="en-US" w:eastAsia="zh-CN"/>
              </w:rPr>
              <w:t>77</w:t>
            </w:r>
            <w:bookmarkStart w:id="6" w:name="_GoBack"/>
            <w:bookmarkEnd w:id="6"/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2CE77">
            <w:pPr>
              <w:jc w:val="center"/>
              <w:rPr>
                <w:rFonts w:ascii="Times New Roman" w:hAnsi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</w:rPr>
              <w:t>CI 42520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1868A">
            <w:pPr>
              <w:jc w:val="center"/>
              <w:rPr>
                <w:rFonts w:ascii="Times New Roman" w:hAnsi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</w:rPr>
              <w:t>BASIC VIOLET 2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D3452">
            <w:pPr>
              <w:jc w:val="center"/>
              <w:rPr>
                <w:rFonts w:hint="default" w:ascii="Times New Roman" w:hAnsi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  <w:lang w:val="en-US" w:eastAsia="zh-CN"/>
              </w:rPr>
              <w:t>1.0 %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0FD85">
            <w:pPr>
              <w:jc w:val="center"/>
              <w:rPr>
                <w:rFonts w:hint="default" w:ascii="Times New Roman" w:hAnsi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Cs w:val="21"/>
                <w:lang w:val="en-US" w:eastAsia="zh-CN"/>
              </w:rPr>
              <w:t>0.5 %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819DA">
            <w:pPr>
              <w:rPr>
                <w:rFonts w:ascii="Times New Roman" w:hAnsi="Times New Roman" w:eastAsiaTheme="minorEastAsia"/>
                <w:color w:val="auto"/>
                <w:szCs w:val="21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D58EB">
            <w:pPr>
              <w:spacing w:line="560" w:lineRule="exact"/>
              <w:jc w:val="center"/>
              <w:rPr>
                <w:rFonts w:ascii="Times New Roman" w:hAnsi="Times New Roman" w:cs="宋体"/>
                <w:color w:val="auto"/>
                <w:sz w:val="24"/>
              </w:rPr>
            </w:pPr>
          </w:p>
        </w:tc>
      </w:tr>
    </w:tbl>
    <w:p w14:paraId="11F1625B">
      <w:pPr>
        <w:widowControl/>
        <w:jc w:val="left"/>
        <w:rPr>
          <w:rFonts w:ascii="Times New Roman" w:hAnsi="Times New Roman" w:eastAsia="方正小标宋简体"/>
          <w:color w:val="auto"/>
          <w:sz w:val="48"/>
          <w:szCs w:val="48"/>
        </w:rPr>
      </w:pPr>
    </w:p>
    <w:p w14:paraId="299114A0">
      <w:pPr>
        <w:pStyle w:val="2"/>
        <w:spacing w:before="156" w:beforeLines="50" w:after="156" w:afterLines="50" w:line="300" w:lineRule="auto"/>
        <w:jc w:val="center"/>
        <w:rPr>
          <w:rFonts w:hint="eastAsia" w:ascii="Times New Roman" w:hAnsi="Times New Roman" w:eastAsia="黑体"/>
          <w:b w:val="0"/>
          <w:bCs w:val="0"/>
          <w:color w:val="auto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CC2185D">
      <w:pPr>
        <w:pStyle w:val="2"/>
        <w:spacing w:before="156" w:beforeLines="50" w:after="156" w:afterLines="50" w:line="300" w:lineRule="auto"/>
        <w:jc w:val="center"/>
        <w:rPr>
          <w:rFonts w:ascii="Times New Roman" w:hAnsi="Times New Roman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color w:val="auto"/>
          <w:sz w:val="32"/>
          <w:szCs w:val="32"/>
          <w:lang w:val="en-US" w:eastAsia="zh-CN"/>
        </w:rPr>
        <w:t>CI 42520</w:t>
      </w:r>
      <w:r>
        <w:rPr>
          <w:rFonts w:hint="eastAsia" w:ascii="Times New Roman" w:hAnsi="Times New Roman" w:eastAsia="黑体"/>
          <w:b w:val="0"/>
          <w:bCs w:val="0"/>
          <w:color w:val="auto"/>
          <w:sz w:val="32"/>
          <w:szCs w:val="32"/>
        </w:rPr>
        <w:t>（征求意见稿）起草说明</w:t>
      </w:r>
      <w:bookmarkEnd w:id="0"/>
    </w:p>
    <w:p w14:paraId="7D2D81D9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bookmarkStart w:id="1" w:name="_Hlk207630645"/>
      <w:r>
        <w:rPr>
          <w:rFonts w:hint="eastAsia" w:ascii="Times New Roman" w:hAnsi="Times New Roman"/>
          <w:color w:val="auto"/>
          <w:szCs w:val="21"/>
        </w:rPr>
        <w:t>为加强化妆品的监督管理，进一步提高化妆品使用安全性，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国家药监局</w:t>
      </w:r>
      <w:r>
        <w:rPr>
          <w:rFonts w:hint="eastAsia" w:ascii="Times New Roman" w:hAnsi="Times New Roman"/>
          <w:color w:val="auto"/>
          <w:szCs w:val="21"/>
        </w:rPr>
        <w:t>化妆品标准化技术委员会组织开展了《CI 42520》的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研究制定</w:t>
      </w:r>
      <w:r>
        <w:rPr>
          <w:rFonts w:hint="eastAsia" w:ascii="Times New Roman" w:hAnsi="Times New Roman"/>
          <w:color w:val="auto"/>
          <w:szCs w:val="21"/>
        </w:rPr>
        <w:t>工作。现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将</w:t>
      </w:r>
      <w:r>
        <w:rPr>
          <w:rFonts w:hint="eastAsia" w:ascii="Times New Roman" w:hAnsi="Times New Roman"/>
          <w:color w:val="auto"/>
          <w:szCs w:val="21"/>
        </w:rPr>
        <w:t>有关情况说明如下：</w:t>
      </w:r>
    </w:p>
    <w:bookmarkEnd w:id="1"/>
    <w:p w14:paraId="55DB53DF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概述</w:t>
      </w:r>
    </w:p>
    <w:p w14:paraId="7E56C2D8">
      <w:pPr>
        <w:pStyle w:val="14"/>
        <w:spacing w:line="300" w:lineRule="auto"/>
        <w:rPr>
          <w:rFonts w:hint="default" w:ascii="Times New Roman" w:hAnsi="Times New Roman"/>
          <w:color w:val="auto"/>
          <w:szCs w:val="21"/>
          <w:lang w:val="en-US"/>
        </w:rPr>
      </w:pPr>
      <w:r>
        <w:rPr>
          <w:rFonts w:hint="eastAsia" w:ascii="Times New Roman" w:hAnsi="Times New Roman"/>
          <w:color w:val="auto"/>
          <w:szCs w:val="21"/>
          <w:lang w:val="en-US" w:eastAsia="zh-CN"/>
        </w:rPr>
        <w:t>CI 42520</w:t>
      </w:r>
      <w:r>
        <w:rPr>
          <w:rFonts w:hint="eastAsia" w:ascii="Times New Roman" w:hAnsi="Times New Roman"/>
          <w:color w:val="auto"/>
          <w:szCs w:val="21"/>
        </w:rPr>
        <w:t>，INCI名称为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BASIC VIOLET 2</w:t>
      </w:r>
      <w:r>
        <w:rPr>
          <w:rFonts w:hint="eastAsia" w:ascii="Times New Roman" w:hAnsi="Times New Roman"/>
          <w:color w:val="auto"/>
          <w:szCs w:val="21"/>
        </w:rPr>
        <w:t>。《化妆品安全技术规范》规定其可作为化妆品准用着色剂使用</w:t>
      </w:r>
      <w:r>
        <w:rPr>
          <w:rFonts w:hint="eastAsia" w:ascii="Times New Roman" w:hAnsi="Times New Roman"/>
          <w:color w:val="auto"/>
          <w:szCs w:val="21"/>
          <w:lang w:eastAsia="zh-CN"/>
        </w:rPr>
        <w:t>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着色剂索引通用中文名为碱性紫2</w:t>
      </w:r>
      <w:r>
        <w:rPr>
          <w:rFonts w:hint="eastAsia" w:ascii="Times New Roman" w:hAnsi="Times New Roman"/>
          <w:color w:val="auto"/>
          <w:szCs w:val="21"/>
        </w:rPr>
        <w:t>。</w:t>
      </w:r>
    </w:p>
    <w:p w14:paraId="1E35BD59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起草原则</w:t>
      </w:r>
    </w:p>
    <w:p w14:paraId="7EA36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00" w:lineRule="auto"/>
        <w:ind w:firstLine="0" w:firstLineChars="0"/>
        <w:textAlignment w:val="auto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（一）科学性原则</w:t>
      </w:r>
    </w:p>
    <w:p w14:paraId="60B1264B">
      <w:pPr>
        <w:spacing w:line="300" w:lineRule="auto"/>
        <w:ind w:firstLine="420" w:firstLineChars="200"/>
        <w:rPr>
          <w:rFonts w:ascii="Times New Roman" w:hAnsi="Times New Roman" w:eastAsia="宋体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color w:val="auto"/>
          <w:szCs w:val="21"/>
        </w:rPr>
        <w:t>依据《化妆品安全评估技术导则（2021年版）》，参考欧盟消费者安全科学委员会（SCCS）等国际机构最新评估结论，以现有科学数据和相关信息为基础进行安全评估。</w:t>
      </w:r>
    </w:p>
    <w:p w14:paraId="233C3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00" w:lineRule="auto"/>
        <w:ind w:firstLine="0" w:firstLineChars="0"/>
        <w:textAlignment w:val="auto"/>
        <w:rPr>
          <w:rFonts w:hint="eastAsia"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  <w:lang w:eastAsia="zh-CN"/>
        </w:rPr>
        <w:t>（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二</w:t>
      </w:r>
      <w:r>
        <w:rPr>
          <w:rFonts w:hint="eastAsia" w:ascii="Times New Roman" w:hAnsi="Times New Roman"/>
          <w:color w:val="auto"/>
          <w:szCs w:val="21"/>
          <w:lang w:eastAsia="zh-CN"/>
        </w:rPr>
        <w:t>）</w:t>
      </w:r>
      <w:r>
        <w:rPr>
          <w:rFonts w:hint="eastAsia" w:ascii="Times New Roman" w:hAnsi="Times New Roman"/>
          <w:color w:val="auto"/>
          <w:szCs w:val="21"/>
        </w:rPr>
        <w:t>适用性原则</w:t>
      </w:r>
    </w:p>
    <w:p w14:paraId="6786D032">
      <w:pPr>
        <w:spacing w:line="300" w:lineRule="auto"/>
        <w:ind w:firstLine="420" w:firstLineChars="200"/>
        <w:rPr>
          <w:rFonts w:ascii="Times New Roman" w:hAnsi="Times New Roman" w:eastAsia="宋体" w:cs="Times New Roman"/>
          <w:color w:val="auto"/>
          <w:szCs w:val="21"/>
        </w:rPr>
      </w:pPr>
      <w:r>
        <w:rPr>
          <w:rFonts w:ascii="Times New Roman" w:hAnsi="Times New Roman" w:eastAsia="宋体" w:cs="Times New Roman"/>
          <w:color w:val="auto"/>
          <w:szCs w:val="21"/>
        </w:rPr>
        <w:t>基于安全评估结论，调研</w:t>
      </w:r>
      <w:r>
        <w:rPr>
          <w:rFonts w:hint="eastAsia" w:ascii="Times New Roman" w:hAnsi="Times New Roman" w:cs="Times New Roman"/>
          <w:color w:val="auto"/>
          <w:szCs w:val="21"/>
          <w:lang w:val="en-US" w:eastAsia="zh-CN"/>
        </w:rPr>
        <w:t>国内外</w:t>
      </w:r>
      <w:r>
        <w:rPr>
          <w:rFonts w:ascii="Times New Roman" w:hAnsi="Times New Roman" w:eastAsia="宋体" w:cs="Times New Roman"/>
          <w:color w:val="auto"/>
          <w:szCs w:val="21"/>
        </w:rPr>
        <w:t>行业使用情况，提出标准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制定</w:t>
      </w:r>
      <w:r>
        <w:rPr>
          <w:rFonts w:ascii="Times New Roman" w:hAnsi="Times New Roman" w:eastAsia="宋体" w:cs="Times New Roman"/>
          <w:color w:val="auto"/>
          <w:szCs w:val="21"/>
        </w:rPr>
        <w:t>建议。</w:t>
      </w:r>
    </w:p>
    <w:p w14:paraId="48FB2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00" w:lineRule="auto"/>
        <w:ind w:firstLine="0" w:firstLineChars="0"/>
        <w:textAlignment w:val="auto"/>
        <w:rPr>
          <w:rFonts w:hint="eastAsia"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  <w:lang w:eastAsia="zh-CN"/>
        </w:rPr>
        <w:t>（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三</w:t>
      </w:r>
      <w:r>
        <w:rPr>
          <w:rFonts w:hint="eastAsia" w:ascii="Times New Roman" w:hAnsi="Times New Roman"/>
          <w:color w:val="auto"/>
          <w:szCs w:val="21"/>
          <w:lang w:eastAsia="zh-CN"/>
        </w:rPr>
        <w:t>）</w:t>
      </w:r>
      <w:r>
        <w:rPr>
          <w:rFonts w:hint="eastAsia" w:ascii="Times New Roman" w:hAnsi="Times New Roman"/>
          <w:color w:val="auto"/>
          <w:szCs w:val="21"/>
        </w:rPr>
        <w:t>协调性原则</w:t>
      </w:r>
    </w:p>
    <w:p w14:paraId="54A39ED5">
      <w:pPr>
        <w:spacing w:line="300" w:lineRule="auto"/>
        <w:ind w:firstLine="420" w:firstLineChars="200"/>
        <w:rPr>
          <w:rFonts w:ascii="Times New Roman" w:hAnsi="Times New Roman" w:eastAsia="黑体"/>
          <w:color w:val="auto"/>
          <w:szCs w:val="21"/>
        </w:rPr>
      </w:pPr>
      <w:r>
        <w:rPr>
          <w:rFonts w:ascii="Times New Roman" w:hAnsi="Times New Roman" w:eastAsia="宋体" w:cs="Times New Roman"/>
          <w:color w:val="auto"/>
          <w:szCs w:val="21"/>
        </w:rPr>
        <w:t>参考欧盟</w:t>
      </w:r>
      <w:r>
        <w:rPr>
          <w:rFonts w:hint="eastAsia" w:ascii="Times New Roman" w:hAnsi="Times New Roman" w:eastAsia="宋体" w:cs="Times New Roman"/>
          <w:color w:val="auto"/>
          <w:szCs w:val="21"/>
        </w:rPr>
        <w:t>的使用</w:t>
      </w:r>
      <w:r>
        <w:rPr>
          <w:rFonts w:ascii="Times New Roman" w:hAnsi="Times New Roman" w:eastAsia="宋体" w:cs="Times New Roman"/>
          <w:color w:val="auto"/>
          <w:szCs w:val="21"/>
        </w:rPr>
        <w:t>管理要求，确保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制定</w:t>
      </w:r>
      <w:r>
        <w:rPr>
          <w:rFonts w:ascii="Times New Roman" w:hAnsi="Times New Roman" w:eastAsia="宋体" w:cs="Times New Roman"/>
          <w:color w:val="auto"/>
          <w:szCs w:val="21"/>
        </w:rPr>
        <w:t>后的协调一致性。</w:t>
      </w:r>
    </w:p>
    <w:p w14:paraId="2E963499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起草过程</w:t>
      </w:r>
    </w:p>
    <w:p w14:paraId="4793E491">
      <w:pPr>
        <w:pStyle w:val="14"/>
        <w:spacing w:line="300" w:lineRule="auto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通过国内外相关法规标准分析、行业</w:t>
      </w:r>
      <w:r>
        <w:rPr>
          <w:rFonts w:ascii="Times New Roman" w:hAnsi="Times New Roman"/>
          <w:color w:val="auto"/>
          <w:szCs w:val="21"/>
        </w:rPr>
        <w:t>使用情况</w:t>
      </w:r>
      <w:r>
        <w:rPr>
          <w:rFonts w:hint="eastAsia" w:ascii="Times New Roman" w:hAnsi="Times New Roman"/>
          <w:color w:val="auto"/>
          <w:szCs w:val="21"/>
        </w:rPr>
        <w:t>调研、背景调</w:t>
      </w:r>
      <w:bookmarkStart w:id="2" w:name="_Hlk213920596"/>
      <w:r>
        <w:rPr>
          <w:rFonts w:hint="eastAsia" w:ascii="Times New Roman" w:hAnsi="Times New Roman"/>
          <w:color w:val="auto"/>
          <w:szCs w:val="21"/>
        </w:rPr>
        <w:t>研</w:t>
      </w:r>
      <w:bookmarkEnd w:id="2"/>
      <w:r>
        <w:rPr>
          <w:rFonts w:hint="eastAsia" w:ascii="Times New Roman" w:hAnsi="Times New Roman"/>
          <w:color w:val="auto"/>
          <w:szCs w:val="21"/>
        </w:rPr>
        <w:t>、资料文献整理及研究</w:t>
      </w:r>
      <w:r>
        <w:rPr>
          <w:rFonts w:ascii="Times New Roman" w:hAnsi="Times New Roman"/>
          <w:color w:val="auto"/>
          <w:szCs w:val="21"/>
        </w:rPr>
        <w:t>、安全评估</w:t>
      </w:r>
      <w:r>
        <w:rPr>
          <w:rFonts w:hint="eastAsia" w:ascii="Times New Roman" w:hAnsi="Times New Roman"/>
          <w:color w:val="auto"/>
          <w:szCs w:val="21"/>
        </w:rPr>
        <w:t xml:space="preserve">等，形成《化妆品中CI 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42520</w:t>
      </w:r>
      <w:r>
        <w:rPr>
          <w:rFonts w:hint="eastAsia" w:ascii="Times New Roman" w:hAnsi="Times New Roman"/>
          <w:color w:val="auto"/>
          <w:szCs w:val="21"/>
        </w:rPr>
        <w:t>的安全评估报告》，提出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制定</w:t>
      </w:r>
      <w:r>
        <w:rPr>
          <w:rFonts w:hint="eastAsia" w:ascii="Times New Roman" w:hAnsi="Times New Roman"/>
          <w:color w:val="auto"/>
          <w:szCs w:val="21"/>
        </w:rPr>
        <w:t>建议。</w:t>
      </w:r>
    </w:p>
    <w:p w14:paraId="3ABF5351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与我国已有标准的关系</w:t>
      </w:r>
    </w:p>
    <w:p w14:paraId="278B67E3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  <w:lang w:val="en-US" w:eastAsia="zh-CN"/>
        </w:rPr>
        <w:t>CI 42520收录于《化妆品安全技术规范》化妆品准用着色剂（表6）</w:t>
      </w:r>
      <w:r>
        <w:rPr>
          <w:rFonts w:hint="eastAsia" w:ascii="Times New Roman" w:hAnsi="Times New Roman"/>
          <w:color w:val="auto"/>
          <w:szCs w:val="21"/>
          <w:lang w:eastAsia="zh-CN"/>
        </w:rPr>
        <w:t>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着色剂索引通用中文名为碱性紫2。本次修订拟将CI 42520列入《化妆品安全技术规范》化妆品准用染发剂（表7）中，氧化型染发产品使用时的最大允许浓度为1.0%，</w:t>
      </w:r>
      <w:r>
        <w:rPr>
          <w:rFonts w:hint="eastAsia" w:ascii="Times New Roman" w:hAnsi="Times New Roman"/>
          <w:color w:val="auto"/>
          <w:szCs w:val="21"/>
        </w:rPr>
        <w:t>非氧化型染发产品使用时的最大允许浓度为0.5%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。调整后，与欧盟、东盟等国家或地区相关规定一致。</w:t>
      </w:r>
    </w:p>
    <w:p w14:paraId="06AC3171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与国际同类标准的关系</w:t>
      </w:r>
    </w:p>
    <w:p w14:paraId="0FDBF954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bookmarkStart w:id="3" w:name="OLE_LINK2"/>
      <w:bookmarkStart w:id="4" w:name="OLE_LINK4"/>
      <w:r>
        <w:rPr>
          <w:rFonts w:hint="eastAsia" w:ascii="Times New Roman" w:hAnsi="Times New Roman"/>
          <w:color w:val="auto"/>
          <w:szCs w:val="21"/>
        </w:rPr>
        <w:t xml:space="preserve">CI </w:t>
      </w:r>
      <w:bookmarkEnd w:id="3"/>
      <w:r>
        <w:rPr>
          <w:rFonts w:hint="eastAsia" w:ascii="Times New Roman" w:hAnsi="Times New Roman"/>
          <w:color w:val="auto"/>
          <w:szCs w:val="21"/>
          <w:lang w:val="en-US" w:eastAsia="zh-CN"/>
        </w:rPr>
        <w:t>42520</w:t>
      </w:r>
      <w:bookmarkEnd w:id="4"/>
      <w:r>
        <w:rPr>
          <w:rFonts w:hint="eastAsia" w:ascii="Times New Roman" w:hAnsi="Times New Roman"/>
          <w:color w:val="auto"/>
          <w:szCs w:val="21"/>
        </w:rPr>
        <w:t>收录于《欧盟化妆品法规（</w:t>
      </w:r>
      <w:r>
        <w:rPr>
          <w:rFonts w:ascii="Times New Roman" w:hAnsi="Times New Roman"/>
          <w:color w:val="auto"/>
          <w:szCs w:val="21"/>
        </w:rPr>
        <w:t>EC</w:t>
      </w:r>
      <w:r>
        <w:rPr>
          <w:rFonts w:hint="eastAsia" w:ascii="Times New Roman" w:hAnsi="Times New Roman"/>
          <w:color w:val="auto"/>
          <w:szCs w:val="21"/>
        </w:rPr>
        <w:t>）</w:t>
      </w:r>
      <w:r>
        <w:rPr>
          <w:rFonts w:ascii="Times New Roman" w:hAnsi="Times New Roman"/>
          <w:color w:val="auto"/>
          <w:szCs w:val="21"/>
        </w:rPr>
        <w:t xml:space="preserve">No </w:t>
      </w:r>
      <w:r>
        <w:rPr>
          <w:rFonts w:hint="eastAsia" w:ascii="Times New Roman" w:hAnsi="Times New Roman"/>
          <w:color w:val="auto"/>
          <w:szCs w:val="21"/>
        </w:rPr>
        <w:t>1223</w:t>
      </w:r>
      <w:r>
        <w:rPr>
          <w:rFonts w:ascii="Times New Roman" w:hAnsi="Times New Roman"/>
          <w:color w:val="auto"/>
          <w:szCs w:val="21"/>
        </w:rPr>
        <w:t>/2</w:t>
      </w:r>
      <w:r>
        <w:rPr>
          <w:rFonts w:hint="eastAsia" w:ascii="Times New Roman" w:hAnsi="Times New Roman"/>
          <w:color w:val="auto"/>
          <w:szCs w:val="21"/>
        </w:rPr>
        <w:t>009》附录</w:t>
      </w:r>
      <w:r>
        <w:rPr>
          <w:rFonts w:ascii="Times New Roman" w:hAnsi="Times New Roman"/>
          <w:color w:val="auto"/>
          <w:szCs w:val="21"/>
        </w:rPr>
        <w:t>Ⅲ</w:t>
      </w:r>
      <w:r>
        <w:rPr>
          <w:rFonts w:hint="eastAsia" w:ascii="Times New Roman" w:hAnsi="Times New Roman"/>
          <w:color w:val="auto"/>
          <w:szCs w:val="21"/>
        </w:rPr>
        <w:t>（</w:t>
      </w:r>
      <w:bookmarkStart w:id="5" w:name="OLE_LINK3"/>
      <w:r>
        <w:rPr>
          <w:rFonts w:hint="eastAsia" w:ascii="Times New Roman" w:hAnsi="Times New Roman"/>
          <w:color w:val="auto"/>
          <w:szCs w:val="21"/>
        </w:rPr>
        <w:t>化妆品限制使用的物质清单</w:t>
      </w:r>
      <w:bookmarkEnd w:id="5"/>
      <w:r>
        <w:rPr>
          <w:rFonts w:hint="eastAsia" w:ascii="Times New Roman" w:hAnsi="Times New Roman"/>
          <w:color w:val="auto"/>
          <w:szCs w:val="21"/>
        </w:rPr>
        <w:t>）和附录</w:t>
      </w:r>
      <w:r>
        <w:rPr>
          <w:rFonts w:hint="eastAsia" w:ascii="宋体" w:hAnsi="宋体"/>
          <w:color w:val="auto"/>
          <w:szCs w:val="21"/>
        </w:rPr>
        <w:t>Ⅳ</w:t>
      </w:r>
      <w:r>
        <w:rPr>
          <w:rFonts w:hint="eastAsia" w:ascii="Times New Roman" w:hAnsi="Times New Roman"/>
          <w:color w:val="auto"/>
          <w:szCs w:val="21"/>
        </w:rPr>
        <w:t>（化妆品准用着色剂清单），附录</w:t>
      </w:r>
      <w:r>
        <w:rPr>
          <w:rFonts w:ascii="Times New Roman" w:hAnsi="Times New Roman"/>
          <w:color w:val="auto"/>
          <w:szCs w:val="21"/>
        </w:rPr>
        <w:t>Ⅲ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中</w:t>
      </w:r>
      <w:r>
        <w:rPr>
          <w:rFonts w:hint="eastAsia" w:ascii="Times New Roman" w:hAnsi="Times New Roman"/>
          <w:color w:val="auto"/>
          <w:szCs w:val="21"/>
        </w:rPr>
        <w:t xml:space="preserve">CI 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42520的使用管理要求为：氧化型染发产品使用时的最大允许浓度为1.0%，</w:t>
      </w:r>
      <w:r>
        <w:rPr>
          <w:rFonts w:hint="eastAsia" w:ascii="Times New Roman" w:hAnsi="Times New Roman"/>
          <w:color w:val="auto"/>
          <w:szCs w:val="21"/>
        </w:rPr>
        <w:t>非氧化型染发产品使用时的最大允许浓度为0.5</w:t>
      </w:r>
      <w:r>
        <w:rPr>
          <w:rFonts w:ascii="Times New Roman" w:hAnsi="Times New Roman"/>
          <w:color w:val="auto"/>
          <w:szCs w:val="21"/>
        </w:rPr>
        <w:t>%</w:t>
      </w:r>
      <w:r>
        <w:rPr>
          <w:rFonts w:hint="eastAsia" w:ascii="Times New Roman" w:hAnsi="Times New Roman"/>
          <w:color w:val="auto"/>
          <w:szCs w:val="21"/>
          <w:lang w:eastAsia="zh-CN"/>
        </w:rPr>
        <w:t>。</w:t>
      </w:r>
      <w:r>
        <w:rPr>
          <w:rFonts w:hint="eastAsia" w:ascii="Times New Roman" w:hAnsi="Times New Roman"/>
          <w:color w:val="auto"/>
          <w:szCs w:val="21"/>
        </w:rPr>
        <w:t>东盟相关使用管理要求与欧盟一致。</w:t>
      </w:r>
    </w:p>
    <w:p w14:paraId="1A413E8E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</w:p>
    <w:p w14:paraId="44C33E54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其他需要说明的问题</w:t>
      </w:r>
    </w:p>
    <w:p w14:paraId="5453067E">
      <w:pPr>
        <w:widowControl/>
        <w:jc w:val="left"/>
        <w:rPr>
          <w:rFonts w:ascii="Times New Roman" w:hAnsi="Times New Roman" w:eastAsia="黑体"/>
          <w:color w:val="auto"/>
          <w:kern w:val="0"/>
          <w:sz w:val="32"/>
          <w:szCs w:val="32"/>
        </w:rPr>
      </w:pPr>
      <w:r>
        <w:rPr>
          <w:rFonts w:hint="eastAsia" w:ascii="Times New Roman" w:hAnsi="Times New Roman"/>
          <w:color w:val="auto"/>
          <w:szCs w:val="21"/>
          <w:lang w:val="en-US" w:eastAsia="zh-CN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2983504"/>
      <w:docPartObj>
        <w:docPartGallery w:val="autotext"/>
      </w:docPartObj>
    </w:sdtPr>
    <w:sdtContent>
      <w:p w14:paraId="73A67B6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DA34E7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32726"/>
    <w:multiLevelType w:val="multilevel"/>
    <w:tmpl w:val="42132726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48"/>
    <w:rsid w:val="000104FE"/>
    <w:rsid w:val="00024596"/>
    <w:rsid w:val="00041361"/>
    <w:rsid w:val="00082020"/>
    <w:rsid w:val="00094B85"/>
    <w:rsid w:val="000F4558"/>
    <w:rsid w:val="001176C6"/>
    <w:rsid w:val="00123056"/>
    <w:rsid w:val="001268AA"/>
    <w:rsid w:val="001418E4"/>
    <w:rsid w:val="00147EF2"/>
    <w:rsid w:val="00163440"/>
    <w:rsid w:val="00192C72"/>
    <w:rsid w:val="001E17D3"/>
    <w:rsid w:val="001E465A"/>
    <w:rsid w:val="001E76A8"/>
    <w:rsid w:val="00212CDD"/>
    <w:rsid w:val="002438F3"/>
    <w:rsid w:val="00250D9C"/>
    <w:rsid w:val="002541F6"/>
    <w:rsid w:val="002616EC"/>
    <w:rsid w:val="0026618E"/>
    <w:rsid w:val="002852A9"/>
    <w:rsid w:val="002D55D0"/>
    <w:rsid w:val="002E0D7C"/>
    <w:rsid w:val="002E61BB"/>
    <w:rsid w:val="002E69B1"/>
    <w:rsid w:val="002E6E71"/>
    <w:rsid w:val="002F7054"/>
    <w:rsid w:val="00316466"/>
    <w:rsid w:val="00334477"/>
    <w:rsid w:val="003446F9"/>
    <w:rsid w:val="003A0064"/>
    <w:rsid w:val="003A017E"/>
    <w:rsid w:val="003C1ABB"/>
    <w:rsid w:val="003D2265"/>
    <w:rsid w:val="00407A91"/>
    <w:rsid w:val="00423D84"/>
    <w:rsid w:val="004532A0"/>
    <w:rsid w:val="00455503"/>
    <w:rsid w:val="00457B40"/>
    <w:rsid w:val="004711B2"/>
    <w:rsid w:val="00484E81"/>
    <w:rsid w:val="00492DF7"/>
    <w:rsid w:val="004A1862"/>
    <w:rsid w:val="004B7568"/>
    <w:rsid w:val="004C13A6"/>
    <w:rsid w:val="004C3E02"/>
    <w:rsid w:val="004C6578"/>
    <w:rsid w:val="004D3073"/>
    <w:rsid w:val="004D72F4"/>
    <w:rsid w:val="004E2249"/>
    <w:rsid w:val="004E760D"/>
    <w:rsid w:val="005211D5"/>
    <w:rsid w:val="00536731"/>
    <w:rsid w:val="00536E7B"/>
    <w:rsid w:val="0054174F"/>
    <w:rsid w:val="005728F3"/>
    <w:rsid w:val="0058230E"/>
    <w:rsid w:val="00587540"/>
    <w:rsid w:val="00595FF1"/>
    <w:rsid w:val="00597BC2"/>
    <w:rsid w:val="005A46DE"/>
    <w:rsid w:val="005C5033"/>
    <w:rsid w:val="005F3533"/>
    <w:rsid w:val="00602359"/>
    <w:rsid w:val="00625AF9"/>
    <w:rsid w:val="00626C5E"/>
    <w:rsid w:val="006700EF"/>
    <w:rsid w:val="006732AA"/>
    <w:rsid w:val="00685F80"/>
    <w:rsid w:val="006878AA"/>
    <w:rsid w:val="00692B7B"/>
    <w:rsid w:val="00693AEF"/>
    <w:rsid w:val="006A12D5"/>
    <w:rsid w:val="006C063B"/>
    <w:rsid w:val="006C0F22"/>
    <w:rsid w:val="006C116A"/>
    <w:rsid w:val="006C7CFA"/>
    <w:rsid w:val="006C7E5F"/>
    <w:rsid w:val="006D0667"/>
    <w:rsid w:val="006D6717"/>
    <w:rsid w:val="006D786E"/>
    <w:rsid w:val="006E5FD3"/>
    <w:rsid w:val="00707DC6"/>
    <w:rsid w:val="007208ED"/>
    <w:rsid w:val="00722060"/>
    <w:rsid w:val="00723719"/>
    <w:rsid w:val="007657F6"/>
    <w:rsid w:val="0077075D"/>
    <w:rsid w:val="00782629"/>
    <w:rsid w:val="00786607"/>
    <w:rsid w:val="00787971"/>
    <w:rsid w:val="007B0FC3"/>
    <w:rsid w:val="007C2A05"/>
    <w:rsid w:val="007D7B4E"/>
    <w:rsid w:val="007E0B75"/>
    <w:rsid w:val="0080296E"/>
    <w:rsid w:val="00823585"/>
    <w:rsid w:val="00850D16"/>
    <w:rsid w:val="008651ED"/>
    <w:rsid w:val="00865AAF"/>
    <w:rsid w:val="00875B5E"/>
    <w:rsid w:val="0089524C"/>
    <w:rsid w:val="008A0197"/>
    <w:rsid w:val="008C79D4"/>
    <w:rsid w:val="008C7F73"/>
    <w:rsid w:val="008D4A42"/>
    <w:rsid w:val="008F04CD"/>
    <w:rsid w:val="00943A50"/>
    <w:rsid w:val="00971523"/>
    <w:rsid w:val="00973CCA"/>
    <w:rsid w:val="009A2B65"/>
    <w:rsid w:val="009C581D"/>
    <w:rsid w:val="009D5D1B"/>
    <w:rsid w:val="009E1802"/>
    <w:rsid w:val="009E7ECE"/>
    <w:rsid w:val="00A0065E"/>
    <w:rsid w:val="00A13460"/>
    <w:rsid w:val="00A55369"/>
    <w:rsid w:val="00A55B86"/>
    <w:rsid w:val="00A67486"/>
    <w:rsid w:val="00A92D49"/>
    <w:rsid w:val="00AB27CE"/>
    <w:rsid w:val="00AC2D57"/>
    <w:rsid w:val="00AE2D55"/>
    <w:rsid w:val="00B04C72"/>
    <w:rsid w:val="00B1264F"/>
    <w:rsid w:val="00B60A53"/>
    <w:rsid w:val="00B74440"/>
    <w:rsid w:val="00B824D6"/>
    <w:rsid w:val="00B9641D"/>
    <w:rsid w:val="00BB43B5"/>
    <w:rsid w:val="00BB5F9F"/>
    <w:rsid w:val="00BC028D"/>
    <w:rsid w:val="00BC489F"/>
    <w:rsid w:val="00BD0898"/>
    <w:rsid w:val="00BD4DA2"/>
    <w:rsid w:val="00BE5FB2"/>
    <w:rsid w:val="00C165D1"/>
    <w:rsid w:val="00C17259"/>
    <w:rsid w:val="00C4775D"/>
    <w:rsid w:val="00C623F3"/>
    <w:rsid w:val="00C815B7"/>
    <w:rsid w:val="00C90327"/>
    <w:rsid w:val="00C9123B"/>
    <w:rsid w:val="00CA1304"/>
    <w:rsid w:val="00CB361B"/>
    <w:rsid w:val="00CB4E76"/>
    <w:rsid w:val="00CF0597"/>
    <w:rsid w:val="00D02E25"/>
    <w:rsid w:val="00D171ED"/>
    <w:rsid w:val="00D26D65"/>
    <w:rsid w:val="00D65D0A"/>
    <w:rsid w:val="00D70A10"/>
    <w:rsid w:val="00D96194"/>
    <w:rsid w:val="00DD0CC7"/>
    <w:rsid w:val="00DD216B"/>
    <w:rsid w:val="00DF3C15"/>
    <w:rsid w:val="00DF4FB9"/>
    <w:rsid w:val="00E03DE6"/>
    <w:rsid w:val="00E25914"/>
    <w:rsid w:val="00E26248"/>
    <w:rsid w:val="00E4552F"/>
    <w:rsid w:val="00E50261"/>
    <w:rsid w:val="00E502B5"/>
    <w:rsid w:val="00E554F3"/>
    <w:rsid w:val="00E56CF2"/>
    <w:rsid w:val="00E57D6E"/>
    <w:rsid w:val="00E60BF1"/>
    <w:rsid w:val="00E671DC"/>
    <w:rsid w:val="00E871D3"/>
    <w:rsid w:val="00EA4B23"/>
    <w:rsid w:val="00EB1B55"/>
    <w:rsid w:val="00EB5B58"/>
    <w:rsid w:val="00EC287A"/>
    <w:rsid w:val="00EE210E"/>
    <w:rsid w:val="00F03710"/>
    <w:rsid w:val="00F273CD"/>
    <w:rsid w:val="00F51601"/>
    <w:rsid w:val="00F54FEC"/>
    <w:rsid w:val="00F81B0D"/>
    <w:rsid w:val="00F85120"/>
    <w:rsid w:val="00F86206"/>
    <w:rsid w:val="00F9638E"/>
    <w:rsid w:val="00F970C3"/>
    <w:rsid w:val="00FB674E"/>
    <w:rsid w:val="00FD16F0"/>
    <w:rsid w:val="00FD4BC8"/>
    <w:rsid w:val="00FE7719"/>
    <w:rsid w:val="00FF7FC2"/>
    <w:rsid w:val="020D527D"/>
    <w:rsid w:val="06493CDF"/>
    <w:rsid w:val="0BB47D32"/>
    <w:rsid w:val="22832DE3"/>
    <w:rsid w:val="29F820C2"/>
    <w:rsid w:val="2A8A11F0"/>
    <w:rsid w:val="3B712BCC"/>
    <w:rsid w:val="4A4D0811"/>
    <w:rsid w:val="522E708C"/>
    <w:rsid w:val="5A166E71"/>
    <w:rsid w:val="5B917B74"/>
    <w:rsid w:val="5E5577D9"/>
    <w:rsid w:val="6E79050D"/>
    <w:rsid w:val="7ED2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标题 1 字符"/>
    <w:basedOn w:val="9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8">
    <w:name w:val="样式1"/>
    <w:basedOn w:val="1"/>
    <w:next w:val="1"/>
    <w:qFormat/>
    <w:uiPriority w:val="0"/>
    <w:pPr>
      <w:ind w:firstLine="602" w:firstLineChars="200"/>
    </w:pPr>
    <w:rPr>
      <w:rFonts w:ascii="仿宋" w:hAnsi="仿宋" w:eastAsia="仿宋"/>
      <w:sz w:val="30"/>
      <w:szCs w:val="30"/>
    </w:rPr>
  </w:style>
  <w:style w:type="character" w:customStyle="1" w:styleId="19">
    <w:name w:val="批注文字 字符"/>
    <w:basedOn w:val="9"/>
    <w:link w:val="3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537D-6E03-4B9F-B445-BDE27DB37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774</Words>
  <Characters>881</Characters>
  <Lines>7</Lines>
  <Paragraphs>1</Paragraphs>
  <TotalTime>1</TotalTime>
  <ScaleCrop>false</ScaleCrop>
  <LinksUpToDate>false</LinksUpToDate>
  <CharactersWithSpaces>898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2025-12-04T01:52:00Z</dcterms:created>
  <dc:creator>裴新荣</dc:creator>
  <cp:lastModifiedBy>黄湘鹭</cp:lastModifiedBy>
  <cp:lastPrinted>2025-09-04T05:08:00Z</cp:lastPrinted>
  <dcterms:modified xsi:type="dcterms:W3CDTF">2026-08-04T02:19:55Z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eyJoZGlkIjoiMzc5ZTU2MThkNmRiZDhiYTk2MzdjZDYxYTYzNzRmY2MiLCJ1c2VySWQiOiI0MDU1NDk1NzYifQ==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8F54E966F7C64F0E96BE2EA778A37576_13</vt:lpwstr>
  </property>
</Properties>
</file>