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EC9EE">
      <w:pPr>
        <w:spacing w:before="156" w:beforeLines="50" w:after="156" w:afterLines="50" w:line="300" w:lineRule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8</w:t>
      </w:r>
    </w:p>
    <w:p w14:paraId="4C26DB40">
      <w:pPr>
        <w:keepNext w:val="0"/>
        <w:keepLines w:val="0"/>
        <w:pageBreakBefore w:val="0"/>
        <w:widowControl/>
        <w:tabs>
          <w:tab w:val="right" w:leader="dot" w:pos="8844"/>
          <w:tab w:val="left" w:pos="10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ascii="Times New Roman" w:hAnsi="Times New Roman" w:eastAsia="黑体"/>
          <w:color w:val="auto"/>
          <w:kern w:val="0"/>
          <w:sz w:val="20"/>
          <w:szCs w:val="20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val="en-US" w:eastAsia="zh-CN"/>
        </w:rPr>
        <w:t>CI 19140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（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val="en-US" w:eastAsia="zh-CN"/>
        </w:rPr>
        <w:t>征求意见稿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）</w:t>
      </w:r>
    </w:p>
    <w:tbl>
      <w:tblPr>
        <w:tblStyle w:val="4"/>
        <w:tblpPr w:leftFromText="180" w:rightFromText="180" w:vertAnchor="text" w:horzAnchor="page" w:tblpXSpec="center" w:tblpY="217"/>
        <w:tblOverlap w:val="never"/>
        <w:tblW w:w="5036" w:type="pct"/>
        <w:tblInd w:w="-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741"/>
        <w:gridCol w:w="1237"/>
        <w:gridCol w:w="1438"/>
        <w:gridCol w:w="1568"/>
        <w:gridCol w:w="1569"/>
        <w:gridCol w:w="4834"/>
        <w:gridCol w:w="1341"/>
      </w:tblGrid>
      <w:tr w14:paraId="28ED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42" w:type="pct"/>
            <w:vMerge w:val="restart"/>
            <w:vAlign w:val="center"/>
          </w:tcPr>
          <w:p w14:paraId="6D61919D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章节</w:t>
            </w:r>
          </w:p>
        </w:tc>
        <w:tc>
          <w:tcPr>
            <w:tcW w:w="259" w:type="pct"/>
            <w:vMerge w:val="restart"/>
            <w:vAlign w:val="center"/>
          </w:tcPr>
          <w:p w14:paraId="505D9E6D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序号</w:t>
            </w:r>
          </w:p>
        </w:tc>
        <w:tc>
          <w:tcPr>
            <w:tcW w:w="936" w:type="pct"/>
            <w:gridSpan w:val="2"/>
            <w:vAlign w:val="center"/>
          </w:tcPr>
          <w:p w14:paraId="5ADDEF0C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物质名称</w:t>
            </w:r>
          </w:p>
        </w:tc>
        <w:tc>
          <w:tcPr>
            <w:tcW w:w="1098" w:type="pct"/>
            <w:gridSpan w:val="2"/>
            <w:vAlign w:val="center"/>
          </w:tcPr>
          <w:p w14:paraId="02593A5F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化妆品使用时的最大允许浓度</w:t>
            </w:r>
          </w:p>
        </w:tc>
        <w:tc>
          <w:tcPr>
            <w:tcW w:w="1692" w:type="pct"/>
            <w:vMerge w:val="restart"/>
            <w:vAlign w:val="center"/>
          </w:tcPr>
          <w:p w14:paraId="08E6F8C9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其他限制和要求</w:t>
            </w:r>
          </w:p>
        </w:tc>
        <w:tc>
          <w:tcPr>
            <w:tcW w:w="469" w:type="pct"/>
            <w:vMerge w:val="restart"/>
            <w:vAlign w:val="center"/>
          </w:tcPr>
          <w:p w14:paraId="756BE836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标签上必须标印的使用条件和注意事项</w:t>
            </w:r>
          </w:p>
        </w:tc>
      </w:tr>
      <w:tr w14:paraId="7104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42" w:type="pct"/>
            <w:vMerge w:val="continue"/>
            <w:vAlign w:val="center"/>
          </w:tcPr>
          <w:p w14:paraId="6762E663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auto"/>
                <w:sz w:val="24"/>
              </w:rPr>
            </w:pPr>
          </w:p>
        </w:tc>
        <w:tc>
          <w:tcPr>
            <w:tcW w:w="259" w:type="pct"/>
            <w:vMerge w:val="continue"/>
            <w:vAlign w:val="center"/>
          </w:tcPr>
          <w:p w14:paraId="598D86D6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auto"/>
                <w:sz w:val="24"/>
              </w:rPr>
            </w:pPr>
          </w:p>
        </w:tc>
        <w:tc>
          <w:tcPr>
            <w:tcW w:w="433" w:type="pct"/>
            <w:vAlign w:val="center"/>
          </w:tcPr>
          <w:p w14:paraId="2B33A199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中文名称</w:t>
            </w:r>
          </w:p>
        </w:tc>
        <w:tc>
          <w:tcPr>
            <w:tcW w:w="503" w:type="pct"/>
            <w:vAlign w:val="center"/>
          </w:tcPr>
          <w:p w14:paraId="430E7A70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INCI名称</w:t>
            </w:r>
          </w:p>
        </w:tc>
        <w:tc>
          <w:tcPr>
            <w:tcW w:w="549" w:type="pct"/>
            <w:vAlign w:val="center"/>
          </w:tcPr>
          <w:p w14:paraId="7D1B64C1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氧化型</w:t>
            </w:r>
          </w:p>
          <w:p w14:paraId="656365A2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染发产品</w:t>
            </w:r>
          </w:p>
        </w:tc>
        <w:tc>
          <w:tcPr>
            <w:tcW w:w="549" w:type="pct"/>
            <w:vAlign w:val="center"/>
          </w:tcPr>
          <w:p w14:paraId="0066F34D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非氧化型</w:t>
            </w:r>
          </w:p>
          <w:p w14:paraId="0A96CF0E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染发产品</w:t>
            </w:r>
          </w:p>
        </w:tc>
        <w:tc>
          <w:tcPr>
            <w:tcW w:w="1692" w:type="pct"/>
            <w:vMerge w:val="continue"/>
            <w:vAlign w:val="center"/>
          </w:tcPr>
          <w:p w14:paraId="407CF55E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auto"/>
                <w:sz w:val="24"/>
              </w:rPr>
            </w:pPr>
          </w:p>
        </w:tc>
        <w:tc>
          <w:tcPr>
            <w:tcW w:w="469" w:type="pct"/>
            <w:vMerge w:val="continue"/>
            <w:vAlign w:val="center"/>
          </w:tcPr>
          <w:p w14:paraId="633B1DE9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auto"/>
                <w:sz w:val="24"/>
              </w:rPr>
            </w:pPr>
          </w:p>
        </w:tc>
      </w:tr>
      <w:tr w14:paraId="014A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542" w:type="pct"/>
            <w:vAlign w:val="center"/>
          </w:tcPr>
          <w:p w14:paraId="6A2E83AF">
            <w:pPr>
              <w:jc w:val="center"/>
              <w:rPr>
                <w:rFonts w:hint="eastAsia" w:ascii="Times New Roman" w:hAnsi="Times New Roman" w:eastAsia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</w:rPr>
              <w:t>第三章4化妆品准用染发剂</w:t>
            </w:r>
          </w:p>
          <w:p w14:paraId="3E4583D6">
            <w:pPr>
              <w:jc w:val="center"/>
              <w:rPr>
                <w:rFonts w:ascii="Times New Roman" w:hAnsi="Times New Roman" w:eastAsia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</w:rPr>
              <w:t>（表7）</w:t>
            </w:r>
          </w:p>
        </w:tc>
        <w:tc>
          <w:tcPr>
            <w:tcW w:w="259" w:type="pct"/>
            <w:vAlign w:val="center"/>
          </w:tcPr>
          <w:p w14:paraId="12192EDD">
            <w:pPr>
              <w:jc w:val="center"/>
              <w:rPr>
                <w:rFonts w:hint="default" w:ascii="Times New Roman" w:hAnsi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78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31E6DEC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CI 19140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5F1868A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ACID</w:t>
            </w:r>
            <w:r>
              <w:rPr>
                <w:rFonts w:hint="eastAsia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YELLOW 23</w:t>
            </w:r>
          </w:p>
        </w:tc>
        <w:tc>
          <w:tcPr>
            <w:tcW w:w="549" w:type="pct"/>
            <w:vAlign w:val="center"/>
          </w:tcPr>
          <w:p w14:paraId="28AD3452">
            <w:pPr>
              <w:jc w:val="center"/>
              <w:rPr>
                <w:rFonts w:ascii="Times New Roman" w:hAnsi="Times New Roman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549" w:type="pct"/>
            <w:vAlign w:val="center"/>
          </w:tcPr>
          <w:p w14:paraId="14F0FD85">
            <w:pPr>
              <w:jc w:val="center"/>
              <w:rPr>
                <w:rFonts w:hint="default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0.5%</w:t>
            </w:r>
          </w:p>
        </w:tc>
        <w:tc>
          <w:tcPr>
            <w:tcW w:w="1692" w:type="pct"/>
            <w:vAlign w:val="center"/>
          </w:tcPr>
          <w:p w14:paraId="7FA81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所用染料纯度不得小于85%，其杂质含量必须符合以下要求：4-肼基苯磺酸（4-Hydrazinobenzene sulfonic acid）、4-氨基苯-1-磺酸（4-Aminobenzene-1-sulfonic acid）、5-氧亚基-1-(4-磺苯基)-2-吡唑啉-3-羧酸（5-Oxo-1-(4-sulfophenyl)-2-pyrazoline-3-carboxylic acid）、4,4</w:t>
            </w:r>
            <w:r>
              <w:rPr>
                <w:rFonts w:hint="default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-重氮氨基二苯磺酸〔4,4</w:t>
            </w:r>
            <w:r>
              <w:rPr>
                <w:rFonts w:hint="default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  <w:t>-Diazoaminodi(benzene sulfonic acid)〕和四羟基丁二酸（Tetrahydroxy succinic acid）总量不超过0.5%；未磺化芳香伯胺不超过0.01%（以苯胺计）</w:t>
            </w:r>
          </w:p>
        </w:tc>
        <w:tc>
          <w:tcPr>
            <w:tcW w:w="469" w:type="pct"/>
            <w:vAlign w:val="center"/>
          </w:tcPr>
          <w:p w14:paraId="7D3D58EB">
            <w:pPr>
              <w:spacing w:line="560" w:lineRule="exact"/>
              <w:jc w:val="center"/>
              <w:rPr>
                <w:rFonts w:ascii="Times New Roman" w:hAnsi="Times New Roman" w:cs="宋体"/>
                <w:color w:val="auto"/>
                <w:sz w:val="24"/>
              </w:rPr>
            </w:pPr>
          </w:p>
        </w:tc>
      </w:tr>
    </w:tbl>
    <w:p w14:paraId="7DC723A2">
      <w:pPr>
        <w:jc w:val="left"/>
        <w:rPr>
          <w:rFonts w:hint="eastAsia" w:ascii="Times New Roman" w:hAnsi="Times New Roman" w:eastAsiaTheme="minorEastAsia"/>
          <w:color w:val="auto"/>
          <w:szCs w:val="21"/>
          <w:lang w:val="en-US" w:eastAsia="zh-CN"/>
        </w:rPr>
      </w:pPr>
    </w:p>
    <w:p w14:paraId="008EAA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after="0" w:afterLines="-2147483648" w:line="240" w:lineRule="auto"/>
        <w:jc w:val="center"/>
        <w:textAlignment w:val="auto"/>
        <w:rPr>
          <w:rFonts w:hint="default" w:ascii="Times New Roman" w:hAnsi="Times New Roman" w:eastAsia="黑体"/>
          <w:color w:val="auto"/>
          <w:spacing w:val="-6"/>
          <w:sz w:val="32"/>
          <w:szCs w:val="32"/>
          <w:lang w:val="en-US" w:eastAsia="zh-CN"/>
        </w:rPr>
      </w:pPr>
    </w:p>
    <w:p w14:paraId="643212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after="0" w:afterLines="-2147483648" w:line="240" w:lineRule="auto"/>
        <w:jc w:val="center"/>
        <w:textAlignment w:val="auto"/>
        <w:rPr>
          <w:rFonts w:hint="default" w:ascii="Times New Roman" w:hAnsi="Times New Roman" w:eastAsia="黑体"/>
          <w:color w:val="auto"/>
          <w:spacing w:val="-6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Spec="center" w:tblpY="217"/>
        <w:tblOverlap w:val="never"/>
        <w:tblW w:w="5001" w:type="pct"/>
        <w:tblInd w:w="-2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725"/>
        <w:gridCol w:w="1210"/>
        <w:gridCol w:w="1225"/>
        <w:gridCol w:w="688"/>
        <w:gridCol w:w="1200"/>
        <w:gridCol w:w="1024"/>
        <w:gridCol w:w="1024"/>
        <w:gridCol w:w="1024"/>
        <w:gridCol w:w="1027"/>
        <w:gridCol w:w="3813"/>
      </w:tblGrid>
      <w:tr w14:paraId="75BE0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EED37F6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章节</w:t>
            </w:r>
          </w:p>
        </w:tc>
        <w:tc>
          <w:tcPr>
            <w:tcW w:w="25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41094FF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42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52FA34BA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 xml:space="preserve">着色剂索引号 </w:t>
            </w:r>
          </w:p>
          <w:p w14:paraId="1D14298C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(Color Index)</w:t>
            </w:r>
          </w:p>
        </w:tc>
        <w:tc>
          <w:tcPr>
            <w:tcW w:w="432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FE6CFBC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 xml:space="preserve">着色剂索引通用名 </w:t>
            </w:r>
          </w:p>
          <w:p w14:paraId="2F13804B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(C.I. generic name)</w:t>
            </w:r>
          </w:p>
        </w:tc>
        <w:tc>
          <w:tcPr>
            <w:tcW w:w="24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25929434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颜色</w:t>
            </w:r>
          </w:p>
          <w:p w14:paraId="11B20237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E426065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着色剂索引通用中文名</w:t>
            </w:r>
          </w:p>
        </w:tc>
        <w:tc>
          <w:tcPr>
            <w:tcW w:w="14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5BF99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使用范围</w:t>
            </w:r>
          </w:p>
        </w:tc>
        <w:tc>
          <w:tcPr>
            <w:tcW w:w="1344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7635AD84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其他限制和要求</w:t>
            </w:r>
          </w:p>
        </w:tc>
      </w:tr>
      <w:tr w14:paraId="06CB4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C0632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5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56206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E39A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43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70F87"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4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45B934"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23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3195F"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3C832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E9A2A">
            <w:pPr>
              <w:jc w:val="center"/>
              <w:rPr>
                <w:rFonts w:hint="default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F23A5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358B9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44" w:type="pct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EA61EE4">
            <w:pPr>
              <w:keepNext w:val="0"/>
              <w:keepLines w:val="0"/>
              <w:widowControl/>
              <w:suppressLineNumbers w:val="0"/>
              <w:jc w:val="left"/>
              <w:rPr>
                <w:rFonts w:ascii="黑体" w:hAnsi="宋体" w:eastAsia="黑体" w:cs="黑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 w14:paraId="29F7D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28E34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5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9EC86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3893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43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4622C"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4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17CBFB"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23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A50F8"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22811621">
            <w:pPr>
              <w:jc w:val="center"/>
              <w:rPr>
                <w:rFonts w:hint="default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各种化妆品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5FA98197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除眼部化妆品之外的其他化妆品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72BFB230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专用于不与粘膜接触的化妆品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657A559A"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专用于仅和皮肤暂时接触的化妆品</w:t>
            </w:r>
          </w:p>
        </w:tc>
        <w:tc>
          <w:tcPr>
            <w:tcW w:w="1344" w:type="pct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020A9FD">
            <w:pPr>
              <w:keepNext w:val="0"/>
              <w:keepLines w:val="0"/>
              <w:widowControl/>
              <w:suppressLineNumbers w:val="0"/>
              <w:jc w:val="left"/>
              <w:rPr>
                <w:rFonts w:ascii="黑体" w:hAnsi="宋体" w:eastAsia="黑体" w:cs="黑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 w14:paraId="4D957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</w:trPr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0E61DE8">
            <w:pPr>
              <w:jc w:val="center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第三章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化妆品准用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着色剂</w:t>
            </w:r>
          </w:p>
          <w:p w14:paraId="3D537666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（表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24E03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44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CD8C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CI 19140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(2)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660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FOOD YELLOW 4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273DD9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黄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1144D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食品黄 4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41E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+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2A9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5F2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CB9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5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4-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肼基苯磺酸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（4-Hydrazinobenzene sulfonic acid）、4-氨基苯-1-磺酸（4-Aminobenzene-1-sulfonic acid）、5-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氧亚基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-1-(4-磺苯基)-2-吡唑啉-3-羧酸（5-Oxo-1-(4-sulfophenyl)- 2-pyrazoline-3-carboxylic acid）、4,4</w:t>
            </w:r>
            <w:r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’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重氮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氨基二苯磺酸（4,4</w:t>
            </w:r>
            <w:r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’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-Diazoaminodi(benzene sulfonic acid)）和四羟基丁二酸（Tetrahydroxy succinic acid）总量不超过 0.5%；未磺化芳香伯胺不超过 0.01%（以苯胺计）</w:t>
            </w:r>
          </w:p>
        </w:tc>
      </w:tr>
      <w:tr w14:paraId="4A9F7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4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017F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7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1D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注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（2）：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这些着色剂的不溶性钡、锶、锆色淀、盐和颜料也被允许使用，它们必须通过不溶性测定。</w:t>
            </w:r>
          </w:p>
        </w:tc>
      </w:tr>
    </w:tbl>
    <w:p w14:paraId="3855882E">
      <w:pPr>
        <w:keepNext w:val="0"/>
        <w:keepLines w:val="0"/>
        <w:widowControl/>
        <w:suppressLineNumbers w:val="0"/>
        <w:jc w:val="left"/>
        <w:rPr>
          <w:color w:val="auto"/>
        </w:rPr>
      </w:pPr>
    </w:p>
    <w:p w14:paraId="6BE8B1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after="0" w:afterLines="-2147483648" w:line="240" w:lineRule="auto"/>
        <w:jc w:val="center"/>
        <w:textAlignment w:val="auto"/>
        <w:rPr>
          <w:rFonts w:hint="default" w:ascii="Times New Roman" w:hAnsi="Times New Roman" w:eastAsia="黑体"/>
          <w:color w:val="auto"/>
          <w:spacing w:val="-6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ABC9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jc w:val="center"/>
        <w:textAlignment w:val="auto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sz w:val="32"/>
          <w:szCs w:val="32"/>
        </w:rPr>
        <w:t xml:space="preserve">CI </w:t>
      </w:r>
      <w:r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  <w:t xml:space="preserve">19140（征求意见稿） 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起草说明</w:t>
      </w:r>
    </w:p>
    <w:p w14:paraId="27F8CD85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为加强化妆品的监督管理，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进一步</w:t>
      </w:r>
      <w:r>
        <w:rPr>
          <w:rFonts w:hint="eastAsia" w:ascii="Times New Roman" w:hAnsi="Times New Roman"/>
          <w:color w:val="auto"/>
          <w:szCs w:val="21"/>
        </w:rPr>
        <w:t>提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高</w:t>
      </w:r>
      <w:r>
        <w:rPr>
          <w:rFonts w:hint="eastAsia" w:ascii="Times New Roman" w:hAnsi="Times New Roman"/>
          <w:color w:val="auto"/>
          <w:szCs w:val="21"/>
        </w:rPr>
        <w:t>化妆品使用安全性，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国家药监局</w:t>
      </w:r>
      <w:r>
        <w:rPr>
          <w:rFonts w:hint="eastAsia" w:ascii="Times New Roman" w:hAnsi="Times New Roman"/>
          <w:color w:val="auto"/>
          <w:szCs w:val="21"/>
        </w:rPr>
        <w:t>化妆品标准化技术委员会组织开展了《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CI 19140</w:t>
      </w:r>
      <w:r>
        <w:rPr>
          <w:rFonts w:hint="eastAsia" w:ascii="Times New Roman" w:hAnsi="Times New Roman"/>
          <w:color w:val="auto"/>
          <w:szCs w:val="21"/>
        </w:rPr>
        <w:t>》的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研究制定</w:t>
      </w:r>
      <w:r>
        <w:rPr>
          <w:rFonts w:hint="eastAsia" w:ascii="Times New Roman" w:hAnsi="Times New Roman"/>
          <w:color w:val="auto"/>
          <w:szCs w:val="21"/>
        </w:rPr>
        <w:t>工作。现将有关情况说明如下：</w:t>
      </w:r>
      <w:bookmarkStart w:id="3" w:name="_GoBack"/>
      <w:bookmarkEnd w:id="3"/>
    </w:p>
    <w:p w14:paraId="0554BA0A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left="420" w:hanging="420" w:firstLineChars="0"/>
        <w:textAlignment w:val="auto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概述</w:t>
      </w:r>
    </w:p>
    <w:p w14:paraId="3BEA03A0">
      <w:pPr>
        <w:spacing w:line="300" w:lineRule="auto"/>
        <w:ind w:firstLine="420" w:firstLineChars="200"/>
        <w:rPr>
          <w:rFonts w:hint="eastAsia"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  <w:lang w:val="en-US" w:eastAsia="zh-CN"/>
        </w:rPr>
        <w:t>CI 19140</w:t>
      </w:r>
      <w:r>
        <w:rPr>
          <w:rFonts w:hint="eastAsia" w:ascii="Times New Roman" w:hAnsi="Times New Roman"/>
          <w:color w:val="auto"/>
          <w:szCs w:val="21"/>
        </w:rPr>
        <w:t>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INCI名称为ACID YELLOW 23</w:t>
      </w:r>
      <w:r>
        <w:rPr>
          <w:rFonts w:hint="eastAsia" w:ascii="Times New Roman" w:hAnsi="Times New Roman"/>
          <w:color w:val="auto"/>
          <w:szCs w:val="21"/>
        </w:rPr>
        <w:t>。《化妆品安全技术规范》规定其可作为化妆品准用着色剂使用</w:t>
      </w:r>
      <w:r>
        <w:rPr>
          <w:rFonts w:hint="eastAsia" w:ascii="Times New Roman" w:hAnsi="Times New Roman"/>
          <w:color w:val="auto"/>
          <w:szCs w:val="21"/>
          <w:lang w:eastAsia="zh-CN"/>
        </w:rPr>
        <w:t>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着色剂索引通用中文名为食品黄4</w:t>
      </w:r>
      <w:r>
        <w:rPr>
          <w:rFonts w:hint="eastAsia" w:ascii="Times New Roman" w:hAnsi="Times New Roman"/>
          <w:color w:val="auto"/>
          <w:szCs w:val="21"/>
        </w:rPr>
        <w:t>。</w:t>
      </w:r>
    </w:p>
    <w:p w14:paraId="64EC659F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left="420" w:hanging="420" w:firstLineChars="0"/>
        <w:textAlignment w:val="auto"/>
        <w:rPr>
          <w:rFonts w:hint="eastAsia"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起草原则</w:t>
      </w:r>
    </w:p>
    <w:p w14:paraId="3314A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textAlignment w:val="auto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 xml:space="preserve">（一）科学性原则 </w:t>
      </w:r>
    </w:p>
    <w:p w14:paraId="7A7B80A1">
      <w:pPr>
        <w:spacing w:line="300" w:lineRule="auto"/>
        <w:ind w:firstLine="420" w:firstLineChars="200"/>
        <w:rPr>
          <w:rFonts w:ascii="Times New Roman" w:hAnsi="Times New Roman" w:eastAsia="仿宋_GB2312"/>
          <w:bCs/>
          <w:color w:val="auto"/>
          <w:sz w:val="32"/>
          <w:szCs w:val="32"/>
        </w:rPr>
      </w:pPr>
      <w:r>
        <w:rPr>
          <w:rFonts w:hint="eastAsia" w:ascii="Times New Roman" w:hAnsi="Times New Roman"/>
          <w:color w:val="auto"/>
          <w:szCs w:val="21"/>
        </w:rPr>
        <w:t>依据《化妆品安全评估技术导则（</w:t>
      </w:r>
      <w:r>
        <w:rPr>
          <w:rFonts w:ascii="Times New Roman" w:hAnsi="Times New Roman"/>
          <w:color w:val="auto"/>
          <w:szCs w:val="21"/>
        </w:rPr>
        <w:t>2021</w:t>
      </w:r>
      <w:r>
        <w:rPr>
          <w:rFonts w:hint="eastAsia" w:ascii="Times New Roman" w:hAnsi="Times New Roman"/>
          <w:color w:val="auto"/>
          <w:szCs w:val="21"/>
        </w:rPr>
        <w:t>年版）》</w:t>
      </w:r>
      <w:r>
        <w:rPr>
          <w:rFonts w:hint="eastAsia" w:ascii="Times New Roman" w:hAnsi="Times New Roman"/>
          <w:color w:val="auto"/>
          <w:szCs w:val="21"/>
          <w:lang w:eastAsia="zh-CN"/>
        </w:rPr>
        <w:t>，</w:t>
      </w:r>
      <w:r>
        <w:rPr>
          <w:rFonts w:hint="eastAsia" w:ascii="Times New Roman" w:hAnsi="Times New Roman"/>
          <w:color w:val="auto"/>
          <w:szCs w:val="21"/>
        </w:rPr>
        <w:t>参考欧盟消费者安全科学委员会（</w:t>
      </w:r>
      <w:r>
        <w:rPr>
          <w:rFonts w:ascii="Times New Roman" w:hAnsi="Times New Roman"/>
          <w:color w:val="auto"/>
          <w:szCs w:val="21"/>
        </w:rPr>
        <w:t>SCCS</w:t>
      </w:r>
      <w:r>
        <w:rPr>
          <w:rFonts w:hint="eastAsia" w:ascii="Times New Roman" w:hAnsi="Times New Roman"/>
          <w:color w:val="auto"/>
          <w:szCs w:val="21"/>
        </w:rPr>
        <w:t>）、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>欧洲食品安全局（EFSA）</w:t>
      </w:r>
      <w:r>
        <w:rPr>
          <w:rFonts w:hint="eastAsia" w:ascii="Times New Roman" w:hAnsi="Times New Roman"/>
          <w:color w:val="auto"/>
          <w:szCs w:val="21"/>
        </w:rPr>
        <w:t>等国际机构最新评估结论，以现有科学数据和相关信息为基础进行安全评估。</w:t>
      </w:r>
    </w:p>
    <w:p w14:paraId="2A253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textAlignment w:val="auto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 xml:space="preserve">（二）适用性原则 </w:t>
      </w:r>
    </w:p>
    <w:p w14:paraId="0B6C8037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基于安全评估结论，调研我国行业使用情况，提出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标准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制定</w:t>
      </w:r>
      <w:r>
        <w:rPr>
          <w:rFonts w:hint="eastAsia" w:ascii="Times New Roman" w:hAnsi="Times New Roman"/>
          <w:color w:val="auto"/>
          <w:szCs w:val="21"/>
        </w:rPr>
        <w:t xml:space="preserve">建议。 </w:t>
      </w:r>
    </w:p>
    <w:p w14:paraId="069BC551">
      <w:pPr>
        <w:spacing w:before="156" w:beforeLines="50" w:after="156" w:afterLines="50" w:line="300" w:lineRule="auto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 xml:space="preserve">（三）协调性原则 </w:t>
      </w:r>
    </w:p>
    <w:p w14:paraId="21A4937F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参考欧盟、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东盟</w:t>
      </w:r>
      <w:r>
        <w:rPr>
          <w:rFonts w:hint="eastAsia" w:ascii="Times New Roman" w:hAnsi="Times New Roman"/>
          <w:color w:val="auto"/>
          <w:szCs w:val="21"/>
        </w:rPr>
        <w:t>等国家或地区使用管理要求，确保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制定</w:t>
      </w:r>
      <w:r>
        <w:rPr>
          <w:rFonts w:hint="eastAsia" w:ascii="Times New Roman" w:hAnsi="Times New Roman"/>
          <w:color w:val="auto"/>
          <w:szCs w:val="21"/>
        </w:rPr>
        <w:t>后的协调一致性。</w:t>
      </w:r>
    </w:p>
    <w:p w14:paraId="6DC76F2C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left="420" w:hanging="420" w:firstLineChars="0"/>
        <w:textAlignment w:val="auto"/>
        <w:rPr>
          <w:rFonts w:hint="eastAsia"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起草过程</w:t>
      </w:r>
      <w:bookmarkStart w:id="0" w:name="_Toc26391"/>
    </w:p>
    <w:p w14:paraId="0EEF2445">
      <w:pPr>
        <w:spacing w:line="300" w:lineRule="auto"/>
        <w:ind w:firstLine="420" w:firstLineChars="200"/>
        <w:rPr>
          <w:rFonts w:hint="eastAsia"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通过国内外相关法规标准分析、行业使用情况调研、背景调</w:t>
      </w:r>
      <w:bookmarkStart w:id="1" w:name="_Hlk213920596"/>
      <w:r>
        <w:rPr>
          <w:rFonts w:hint="eastAsia" w:ascii="Times New Roman" w:hAnsi="Times New Roman"/>
          <w:color w:val="auto"/>
          <w:szCs w:val="21"/>
        </w:rPr>
        <w:t>研</w:t>
      </w:r>
      <w:bookmarkEnd w:id="1"/>
      <w:r>
        <w:rPr>
          <w:rFonts w:hint="eastAsia" w:ascii="Times New Roman" w:hAnsi="Times New Roman"/>
          <w:color w:val="auto"/>
          <w:szCs w:val="21"/>
        </w:rPr>
        <w:t xml:space="preserve">、资料文献整理及研究、安全评估等，形成《化妆品中CI 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19140</w:t>
      </w:r>
      <w:r>
        <w:rPr>
          <w:rFonts w:hint="eastAsia" w:ascii="Times New Roman" w:hAnsi="Times New Roman"/>
          <w:color w:val="auto"/>
          <w:szCs w:val="21"/>
        </w:rPr>
        <w:t>的安全评估报告》，提出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标准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制定</w:t>
      </w:r>
      <w:r>
        <w:rPr>
          <w:rFonts w:hint="eastAsia" w:ascii="Times New Roman" w:hAnsi="Times New Roman"/>
          <w:color w:val="auto"/>
          <w:szCs w:val="21"/>
        </w:rPr>
        <w:t>建议。</w:t>
      </w:r>
    </w:p>
    <w:p w14:paraId="079B7477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left="420" w:hanging="420" w:firstLineChars="0"/>
        <w:textAlignment w:val="auto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与我国已有标准的关系</w:t>
      </w:r>
    </w:p>
    <w:p w14:paraId="03968E19">
      <w:pPr>
        <w:spacing w:line="300" w:lineRule="auto"/>
        <w:ind w:firstLine="420" w:firstLineChars="200"/>
        <w:rPr>
          <w:rFonts w:hint="default" w:ascii="Times New Roman" w:hAnsi="Times New Roman" w:eastAsia="宋体"/>
          <w:color w:val="auto"/>
          <w:szCs w:val="21"/>
          <w:lang w:val="en-US" w:eastAsia="zh-CN"/>
        </w:rPr>
      </w:pPr>
      <w:r>
        <w:rPr>
          <w:rFonts w:hint="eastAsia" w:ascii="Times New Roman" w:hAnsi="Times New Roman"/>
          <w:color w:val="auto"/>
          <w:szCs w:val="21"/>
        </w:rPr>
        <w:t xml:space="preserve">CI 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19140已</w:t>
      </w:r>
      <w:r>
        <w:rPr>
          <w:rFonts w:hint="eastAsia" w:ascii="Times New Roman" w:hAnsi="Times New Roman"/>
          <w:color w:val="auto"/>
          <w:szCs w:val="21"/>
        </w:rPr>
        <w:t>收录于《化妆品安全技术规范》化妆品准用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着色</w:t>
      </w:r>
      <w:r>
        <w:rPr>
          <w:rFonts w:hint="eastAsia" w:ascii="Times New Roman" w:hAnsi="Times New Roman"/>
          <w:color w:val="auto"/>
          <w:szCs w:val="21"/>
        </w:rPr>
        <w:t>剂（表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6</w:t>
      </w:r>
      <w:r>
        <w:rPr>
          <w:rFonts w:hint="eastAsia" w:ascii="Times New Roman" w:hAnsi="Times New Roman"/>
          <w:color w:val="auto"/>
          <w:szCs w:val="21"/>
        </w:rPr>
        <w:t>），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着色剂索引通用中文名为食品黄4，使用范围为</w:t>
      </w:r>
      <w:r>
        <w:rPr>
          <w:rFonts w:hint="eastAsia" w:ascii="Times New Roman" w:hAnsi="Times New Roman"/>
          <w:color w:val="auto"/>
          <w:szCs w:val="21"/>
        </w:rPr>
        <w:t>各种化妆品</w:t>
      </w:r>
      <w:r>
        <w:rPr>
          <w:rFonts w:hint="eastAsia" w:ascii="Times New Roman" w:hAnsi="Times New Roman"/>
          <w:color w:val="auto"/>
          <w:szCs w:val="21"/>
          <w:lang w:eastAsia="zh-CN"/>
        </w:rPr>
        <w:t>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其他限制和要求中，4-苯肼磺酸（4-Hydrazinobenzene sulfonic acid）、4-氨基苯-1-磺酸（4-Aminobenzene-1-sulfonic acid）、5-羰基-1-(4-磺苯基)-2-吡唑啉-3-羧酸（5-Oxo-1-(4-sulfophenyl)- 2-pyrazoline-3-carboxylic acid）、4,4</w:t>
      </w:r>
      <w:r>
        <w:rPr>
          <w:rFonts w:hint="default" w:ascii="Times New Roman" w:hAnsi="Times New Roman"/>
          <w:color w:val="auto"/>
          <w:szCs w:val="21"/>
          <w:lang w:val="en-US" w:eastAsia="zh-CN"/>
        </w:rPr>
        <w:t>’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-二偶氮氨基二苯磺酸（4,4</w:t>
      </w:r>
      <w:r>
        <w:rPr>
          <w:rFonts w:hint="default" w:ascii="Times New Roman" w:hAnsi="Times New Roman"/>
          <w:color w:val="auto"/>
          <w:szCs w:val="21"/>
          <w:lang w:val="en-US" w:eastAsia="zh-CN"/>
        </w:rPr>
        <w:t>’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-Diazoaminodi(benzene sulfonic acid)）和四羟基丁二酸（Tetrahydroxy succinic acid）总量不超过 0.5%；未磺化芳香伯胺不超过 0.01%（以苯胺计）。本次修订拟根据中国化学会《有机化合物命名原则（2017）》规范相关物质中文名称，将“4-苯肼磺酸”调整为“</w:t>
      </w:r>
      <w:r>
        <w:rPr>
          <w:rFonts w:hint="eastAsia" w:ascii="Times New Roman" w:hAnsi="Times New Roman" w:eastAsiaTheme="minorEastAsia"/>
          <w:color w:val="auto"/>
          <w:szCs w:val="21"/>
          <w:highlight w:val="none"/>
          <w:lang w:val="en-US" w:eastAsia="zh-CN"/>
        </w:rPr>
        <w:t>4-肼基苯磺酸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”、“5-羰基-1-(4-磺苯基)-2-吡唑啉-3-羧酸”调整为“</w:t>
      </w:r>
      <w:r>
        <w:rPr>
          <w:rFonts w:hint="eastAsia" w:ascii="Times New Roman" w:hAnsi="Times New Roman" w:eastAsiaTheme="minorEastAsia"/>
          <w:color w:val="auto"/>
          <w:szCs w:val="21"/>
          <w:lang w:val="en-US" w:eastAsia="zh-CN"/>
        </w:rPr>
        <w:t>5-氧亚基-1-(4-磺苯基)-2-吡唑啉-3-羧酸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”、“4,4</w:t>
      </w:r>
      <w:r>
        <w:rPr>
          <w:rFonts w:hint="default" w:ascii="Times New Roman" w:hAnsi="Times New Roman"/>
          <w:color w:val="auto"/>
          <w:szCs w:val="21"/>
          <w:lang w:val="en-US" w:eastAsia="zh-CN"/>
        </w:rPr>
        <w:t>’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-二偶氮氨基二苯磺酸”调整为“</w:t>
      </w:r>
      <w:r>
        <w:rPr>
          <w:rFonts w:hint="eastAsia" w:ascii="Times New Roman" w:hAnsi="Times New Roman" w:eastAsiaTheme="minorEastAsia"/>
          <w:color w:val="auto"/>
          <w:szCs w:val="21"/>
          <w:lang w:val="en-US" w:eastAsia="zh-CN"/>
        </w:rPr>
        <w:t>4,4</w:t>
      </w:r>
      <w:r>
        <w:rPr>
          <w:rFonts w:hint="default" w:ascii="Times New Roman" w:hAnsi="Times New Roman" w:eastAsiaTheme="minorEastAsia"/>
          <w:color w:val="auto"/>
          <w:szCs w:val="21"/>
          <w:lang w:val="en-US" w:eastAsia="zh-CN"/>
        </w:rPr>
        <w:t>’</w:t>
      </w:r>
      <w:r>
        <w:rPr>
          <w:rFonts w:hint="eastAsia" w:ascii="Times New Roman" w:hAnsi="Times New Roman" w:eastAsiaTheme="minorEastAsia"/>
          <w:color w:val="auto"/>
          <w:szCs w:val="21"/>
          <w:lang w:val="en-US" w:eastAsia="zh-CN"/>
        </w:rPr>
        <w:t>-重氮氨基二苯磺酸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”。</w:t>
      </w:r>
    </w:p>
    <w:p w14:paraId="36894BF8">
      <w:pPr>
        <w:spacing w:line="300" w:lineRule="auto"/>
        <w:ind w:firstLine="420" w:firstLineChars="200"/>
        <w:rPr>
          <w:rFonts w:hint="eastAsia" w:ascii="Times New Roman" w:hAnsi="Times New Roman"/>
          <w:color w:val="auto"/>
          <w:szCs w:val="21"/>
          <w:lang w:val="en-US" w:eastAsia="zh-CN"/>
        </w:rPr>
      </w:pPr>
    </w:p>
    <w:p w14:paraId="47EE5CF5">
      <w:pPr>
        <w:spacing w:line="300" w:lineRule="auto"/>
        <w:ind w:firstLine="420" w:firstLineChars="200"/>
        <w:rPr>
          <w:rFonts w:hint="default" w:ascii="Times New Roman" w:hAnsi="Times New Roman"/>
          <w:color w:val="auto"/>
          <w:szCs w:val="21"/>
          <w:lang w:val="en-US"/>
        </w:rPr>
      </w:pPr>
      <w:r>
        <w:rPr>
          <w:rFonts w:hint="eastAsia" w:ascii="Times New Roman" w:hAnsi="Times New Roman"/>
          <w:color w:val="auto"/>
          <w:szCs w:val="21"/>
          <w:lang w:val="en-US" w:eastAsia="zh-CN"/>
        </w:rPr>
        <w:t>同时，本次修订拟将</w:t>
      </w:r>
      <w:r>
        <w:rPr>
          <w:rFonts w:hint="eastAsia" w:ascii="Times New Roman" w:hAnsi="Times New Roman"/>
          <w:color w:val="auto"/>
          <w:szCs w:val="21"/>
        </w:rPr>
        <w:t xml:space="preserve">CI 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19140列入《化妆品安全技术规范》化妆品准用染发剂（表7）中，非氧化型染发产品使用时的最大允许浓度为0.5%，将其他限制和要求中，所用染料纯度不得小于85%，</w:t>
      </w:r>
      <w:r>
        <w:rPr>
          <w:rFonts w:hint="eastAsia" w:ascii="Times New Roman" w:hAnsi="Times New Roman" w:eastAsiaTheme="minorEastAsia"/>
          <w:color w:val="auto"/>
          <w:szCs w:val="21"/>
          <w:highlight w:val="none"/>
          <w:lang w:val="en-US" w:eastAsia="zh-CN"/>
        </w:rPr>
        <w:t>4-肼基苯磺酸（4-Hydrazinobenzene sulfonic acid）</w:t>
      </w:r>
      <w:r>
        <w:rPr>
          <w:rFonts w:hint="eastAsia" w:ascii="Times New Roman" w:hAnsi="Times New Roman" w:eastAsiaTheme="minorEastAsia"/>
          <w:color w:val="auto"/>
          <w:szCs w:val="21"/>
          <w:lang w:val="en-US" w:eastAsia="zh-CN"/>
        </w:rPr>
        <w:t>、4-氨基苯-1-磺酸（4-Aminobenzene-1-sulfonic acid）、5-氧亚基-1-(4-磺苯基)-2-吡唑啉-3-羧酸（5-Oxo-1-(4-sulfophenyl)-2-pyrazoline-3-carboxylic acid）、4,4</w:t>
      </w:r>
      <w:r>
        <w:rPr>
          <w:rFonts w:hint="default" w:ascii="Times New Roman" w:hAnsi="Times New Roman" w:eastAsiaTheme="minorEastAsia"/>
          <w:color w:val="auto"/>
          <w:szCs w:val="21"/>
          <w:lang w:val="en-US" w:eastAsia="zh-CN"/>
        </w:rPr>
        <w:t>’</w:t>
      </w:r>
      <w:r>
        <w:rPr>
          <w:rFonts w:hint="eastAsia" w:ascii="Times New Roman" w:hAnsi="Times New Roman" w:eastAsiaTheme="minorEastAsia"/>
          <w:color w:val="auto"/>
          <w:szCs w:val="21"/>
          <w:lang w:val="en-US" w:eastAsia="zh-CN"/>
        </w:rPr>
        <w:t>-重氮氨基二苯磺酸（4,4'-Diazoaminodi(benzene sulfonic acid)）和四羟基丁二酸（Tetrahydroxy succinic acid）总量不超过0.5%；未磺化芳香伯胺不超过0.01%（以苯胺计）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”。调整后，与欧盟相关规定基本一致。</w:t>
      </w:r>
    </w:p>
    <w:p w14:paraId="5EDC3DE5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left="420" w:hanging="420" w:firstLineChars="0"/>
        <w:textAlignment w:val="auto"/>
        <w:rPr>
          <w:rFonts w:hint="eastAsia"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与国际同类标准的关系</w:t>
      </w:r>
    </w:p>
    <w:p w14:paraId="0B1F8E1D">
      <w:pPr>
        <w:spacing w:line="300" w:lineRule="auto"/>
        <w:ind w:firstLine="420" w:firstLineChars="200"/>
        <w:rPr>
          <w:rFonts w:hint="default" w:ascii="Times New Roman" w:hAnsi="Times New Roman" w:cs="Times New Roman"/>
          <w:color w:val="auto"/>
          <w:szCs w:val="21"/>
          <w:lang w:val="en-US" w:eastAsia="zh-CN"/>
        </w:rPr>
      </w:pPr>
      <w:r>
        <w:rPr>
          <w:rFonts w:hint="eastAsia" w:ascii="Times New Roman" w:hAnsi="Times New Roman"/>
          <w:color w:val="auto"/>
          <w:szCs w:val="21"/>
        </w:rPr>
        <w:t xml:space="preserve">CI 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19140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同时</w:t>
      </w:r>
      <w:r>
        <w:rPr>
          <w:rFonts w:hint="default" w:ascii="Times New Roman" w:hAnsi="Times New Roman" w:cs="Times New Roman"/>
          <w:color w:val="auto"/>
          <w:szCs w:val="21"/>
        </w:rPr>
        <w:t>收录于《欧盟化妆品法规（EC）No 1223/2009》附录Ⅲ（</w:t>
      </w:r>
      <w:bookmarkStart w:id="2" w:name="OLE_LINK3"/>
      <w:r>
        <w:rPr>
          <w:rFonts w:hint="default" w:ascii="Times New Roman" w:hAnsi="Times New Roman" w:cs="Times New Roman"/>
          <w:color w:val="auto"/>
          <w:szCs w:val="21"/>
        </w:rPr>
        <w:t>化妆品限制使用的物质清单</w:t>
      </w:r>
      <w:bookmarkEnd w:id="2"/>
      <w:r>
        <w:rPr>
          <w:rFonts w:hint="default" w:ascii="Times New Roman" w:hAnsi="Times New Roman" w:cs="Times New Roman"/>
          <w:color w:val="auto"/>
          <w:szCs w:val="21"/>
        </w:rPr>
        <w:t>）和附录Ⅳ（化妆品准用着色剂清单）</w:t>
      </w:r>
      <w:r>
        <w:rPr>
          <w:rFonts w:hint="default" w:ascii="Times New Roman" w:hAnsi="Times New Roman" w:cs="Times New Roman"/>
          <w:color w:val="auto"/>
          <w:szCs w:val="21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21"/>
        </w:rPr>
        <w:t>附录Ⅲ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规定其在非氧化型染发产品使用时的最大允许浓度</w:t>
      </w:r>
      <w:r>
        <w:rPr>
          <w:rFonts w:hint="default" w:ascii="Times New Roman" w:hAnsi="Times New Roman" w:cs="Times New Roman"/>
          <w:color w:val="auto"/>
          <w:szCs w:val="21"/>
        </w:rPr>
        <w:t>为0.5%</w:t>
      </w:r>
      <w:r>
        <w:rPr>
          <w:rFonts w:hint="default" w:ascii="Times New Roman" w:hAnsi="Times New Roman" w:cs="Times New Roman"/>
          <w:color w:val="auto"/>
          <w:szCs w:val="21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21"/>
        </w:rPr>
        <w:t>东盟相关使用管理要求与欧盟一致。附录Ⅳ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规定其纯度应符合原欧盟委员会指令95/45/EC</w:t>
      </w:r>
      <w:r>
        <w:rPr>
          <w:rFonts w:hint="default" w:ascii="Times New Roman" w:hAnsi="Times New Roman" w:cs="Times New Roman"/>
          <w:color w:val="auto"/>
          <w:szCs w:val="21"/>
          <w:lang w:eastAsia="zh-CN"/>
        </w:rPr>
        <w:t>的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相关要求，染料纯度不得小于85%，水不溶物不超过0.2%，</w:t>
      </w:r>
      <w:r>
        <w:rPr>
          <w:rFonts w:hint="default" w:ascii="Times New Roman" w:hAnsi="Times New Roman" w:cs="Times New Roman" w:eastAsiaTheme="minorEastAsia"/>
          <w:color w:val="auto"/>
          <w:szCs w:val="21"/>
          <w:highlight w:val="none"/>
          <w:lang w:val="en-US" w:eastAsia="zh-CN"/>
        </w:rPr>
        <w:t>4-肼基苯磺酸（4-Hydrazinobenzene sulfonic acid）</w:t>
      </w:r>
      <w:r>
        <w:rPr>
          <w:rFonts w:hint="default" w:ascii="Times New Roman" w:hAnsi="Times New Roman" w:cs="Times New Roman" w:eastAsiaTheme="minorEastAsia"/>
          <w:color w:val="auto"/>
          <w:szCs w:val="21"/>
          <w:lang w:val="en-US" w:eastAsia="zh-CN"/>
        </w:rPr>
        <w:t>、4-氨基苯-1-磺酸（4-Aminobenzene-1-sulfonic acid）、5-氧亚基-1-(4-磺苯基)-2-吡唑啉-3-羧酸（5-</w:t>
      </w:r>
      <w:r>
        <w:rPr>
          <w:rFonts w:hint="eastAsia" w:ascii="Times New Roman" w:hAnsi="Times New Roman" w:cs="Times New Roman" w:eastAsiaTheme="minorEastAsia"/>
          <w:color w:val="auto"/>
          <w:szCs w:val="21"/>
          <w:lang w:val="en-US" w:eastAsia="zh-CN"/>
        </w:rPr>
        <w:t>O</w:t>
      </w:r>
      <w:r>
        <w:rPr>
          <w:rFonts w:hint="default" w:ascii="Times New Roman" w:hAnsi="Times New Roman" w:cs="Times New Roman" w:eastAsiaTheme="minorEastAsia"/>
          <w:color w:val="auto"/>
          <w:szCs w:val="21"/>
          <w:lang w:val="en-US" w:eastAsia="zh-CN"/>
        </w:rPr>
        <w:t>xo-1-(4-sulfophenyl)-2-pyrazoline-3-carboxylic acid）、4,4’-重氮氨基二苯磺酸（4,4’-Diazoaminodi(benzene sulfonic acid)）和四羟基丁二酸（Tetrahydroxy succinic acid）总量不超过0.5%，未磺化芳香伯胺不超过0.01%（以苯胺计）等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。</w:t>
      </w:r>
    </w:p>
    <w:bookmarkEnd w:id="0"/>
    <w:p w14:paraId="7C1524C9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left="420" w:hanging="420" w:firstLineChars="0"/>
        <w:textAlignment w:val="auto"/>
        <w:rPr>
          <w:rFonts w:hint="default" w:ascii="Times New Roman" w:hAnsi="Times New Roman" w:eastAsia="黑体" w:cs="Times New Roman"/>
          <w:color w:val="auto"/>
          <w:szCs w:val="21"/>
        </w:rPr>
      </w:pPr>
      <w:r>
        <w:rPr>
          <w:rFonts w:hint="default" w:ascii="Times New Roman" w:hAnsi="Times New Roman" w:eastAsia="黑体" w:cs="Times New Roman"/>
          <w:color w:val="auto"/>
          <w:szCs w:val="21"/>
        </w:rPr>
        <w:t>其他需要说明的问题</w:t>
      </w:r>
    </w:p>
    <w:p w14:paraId="695C0C51">
      <w:pPr>
        <w:spacing w:line="300" w:lineRule="auto"/>
        <w:ind w:firstLine="420" w:firstLineChars="200"/>
        <w:rPr>
          <w:color w:val="auto"/>
        </w:rPr>
      </w:pPr>
      <w:r>
        <w:rPr>
          <w:rFonts w:hint="eastAsia" w:ascii="Times New Roman" w:hAnsi="Times New Roman"/>
          <w:color w:val="auto"/>
          <w:szCs w:val="21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2983504"/>
    </w:sdtPr>
    <w:sdtContent>
      <w:p w14:paraId="73A67B6F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DA34E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30226B"/>
    <w:multiLevelType w:val="multilevel"/>
    <w:tmpl w:val="5130226B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02254"/>
    <w:rsid w:val="00BE7797"/>
    <w:rsid w:val="00F74A57"/>
    <w:rsid w:val="121129DC"/>
    <w:rsid w:val="14F8267C"/>
    <w:rsid w:val="16CE02AC"/>
    <w:rsid w:val="18820242"/>
    <w:rsid w:val="1B6F1962"/>
    <w:rsid w:val="1BA02254"/>
    <w:rsid w:val="1F670C7F"/>
    <w:rsid w:val="235D0104"/>
    <w:rsid w:val="238A1CDD"/>
    <w:rsid w:val="244F7AB7"/>
    <w:rsid w:val="26F96584"/>
    <w:rsid w:val="2877725B"/>
    <w:rsid w:val="2A984CC9"/>
    <w:rsid w:val="2EB6356B"/>
    <w:rsid w:val="2ED95618"/>
    <w:rsid w:val="35CB558F"/>
    <w:rsid w:val="36015455"/>
    <w:rsid w:val="3B671461"/>
    <w:rsid w:val="4A021A7F"/>
    <w:rsid w:val="4A050C18"/>
    <w:rsid w:val="4AB36511"/>
    <w:rsid w:val="4B7F2C4C"/>
    <w:rsid w:val="4EFC34C1"/>
    <w:rsid w:val="5039786D"/>
    <w:rsid w:val="50E3234A"/>
    <w:rsid w:val="5E9439C6"/>
    <w:rsid w:val="60227DD2"/>
    <w:rsid w:val="62277716"/>
    <w:rsid w:val="686927A3"/>
    <w:rsid w:val="6EE4020E"/>
    <w:rsid w:val="71506009"/>
    <w:rsid w:val="773214D4"/>
    <w:rsid w:val="7912749B"/>
    <w:rsid w:val="7A6106E4"/>
    <w:rsid w:val="7DB60653"/>
    <w:rsid w:val="7EB8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1621</Words>
  <Characters>2744</Characters>
  <Lines>0</Lines>
  <Paragraphs>0</Paragraphs>
  <TotalTime>18</TotalTime>
  <ScaleCrop>false</ScaleCrop>
  <LinksUpToDate>false</LinksUpToDate>
  <CharactersWithSpaces>2818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2026-07-02T10:25:00Z</dcterms:created>
  <dc:creator>LJM</dc:creator>
  <cp:lastModifiedBy>裴新荣</cp:lastModifiedBy>
  <dcterms:modified xsi:type="dcterms:W3CDTF">2026-08-04T06:07:06Z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B5878902C8F94A668AA6C5BDE060E10E_13</vt:lpwstr>
  </property>
  <property fmtid="{D5CDD505-2E9C-101B-9397-08002B2CF9AE}" pid="4" name="KSOTemplateDocerSaveRecord">
    <vt:lpwstr>eyJoZGlkIjoiMzc5ZTU2MThkNmRiZDhiYTk2MzdjZDYxYTYzNzRmY2MiLCJ1c2VySWQiOiI0MDU1NDk1NzYifQ==</vt:lpwstr>
  </property>
</Properties>
</file>