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7785A">
      <w:pPr>
        <w:widowControl/>
        <w:snapToGrid w:val="0"/>
        <w:spacing w:before="156" w:beforeLines="50" w:after="156" w:afterLines="50" w:line="300" w:lineRule="auto"/>
        <w:rPr>
          <w:rFonts w:hint="eastAsia" w:ascii="黑体" w:hAnsi="黑体" w:eastAsia="黑体" w:cs="黑体"/>
          <w:sz w:val="32"/>
          <w:szCs w:val="32"/>
          <w:lang w:val="en-US" w:eastAsia="zh-CN"/>
        </w:rPr>
      </w:pPr>
      <w:bookmarkStart w:id="3" w:name="_GoBack"/>
      <w:bookmarkStart w:id="0" w:name="OLE_LINK2"/>
      <w:bookmarkStart w:id="1" w:name="OLE_LINK1"/>
      <w:bookmarkStart w:id="2" w:name="SectionMark4"/>
      <w:r>
        <w:rPr>
          <w:rFonts w:hint="eastAsia" w:ascii="黑体" w:hAnsi="黑体" w:eastAsia="黑体" w:cs="黑体"/>
          <w:sz w:val="32"/>
          <w:szCs w:val="32"/>
        </w:rPr>
        <w:t>附件</w:t>
      </w:r>
      <w:r>
        <w:rPr>
          <w:rFonts w:hint="eastAsia" w:ascii="黑体" w:hAnsi="黑体" w:eastAsia="黑体" w:cs="黑体"/>
          <w:sz w:val="32"/>
          <w:szCs w:val="32"/>
          <w:lang w:val="en-US" w:eastAsia="zh-CN"/>
        </w:rPr>
        <w:t>9</w:t>
      </w:r>
    </w:p>
    <w:bookmarkEnd w:id="3"/>
    <w:p w14:paraId="2617785B">
      <w:pPr>
        <w:widowControl/>
        <w:snapToGrid w:val="0"/>
        <w:spacing w:before="156" w:beforeLines="50" w:after="156" w:afterLines="50" w:line="300" w:lineRule="auto"/>
        <w:jc w:val="center"/>
        <w:rPr>
          <w:rFonts w:eastAsia="黑体"/>
          <w:sz w:val="32"/>
          <w:szCs w:val="32"/>
        </w:rPr>
      </w:pPr>
      <w:r>
        <w:rPr>
          <w:rFonts w:hint="eastAsia" w:eastAsia="黑体"/>
          <w:sz w:val="32"/>
          <w:szCs w:val="32"/>
        </w:rPr>
        <w:t>皮肤变态反应试验方法（征求意见稿）</w:t>
      </w:r>
    </w:p>
    <w:bookmarkEnd w:id="0"/>
    <w:bookmarkEnd w:id="1"/>
    <w:p w14:paraId="2617785C">
      <w:pPr>
        <w:widowControl/>
        <w:snapToGrid w:val="0"/>
        <w:spacing w:before="156" w:beforeLines="50" w:after="156" w:afterLines="50" w:line="300" w:lineRule="auto"/>
        <w:jc w:val="center"/>
        <w:rPr>
          <w:rFonts w:eastAsia="黑体"/>
          <w:bCs/>
          <w:kern w:val="0"/>
          <w:szCs w:val="21"/>
        </w:rPr>
      </w:pPr>
      <w:r>
        <w:rPr>
          <w:rFonts w:hint="eastAsia"/>
          <w:szCs w:val="21"/>
        </w:rPr>
        <w:t>Skin Sensitisation Test</w:t>
      </w:r>
    </w:p>
    <w:bookmarkEnd w:id="2"/>
    <w:p w14:paraId="2617785D">
      <w:pPr>
        <w:pStyle w:val="16"/>
        <w:widowControl w:val="0"/>
        <w:snapToGrid w:val="0"/>
        <w:spacing w:before="156" w:beforeLines="50" w:after="156" w:afterLines="50" w:line="300" w:lineRule="auto"/>
        <w:ind w:firstLine="0" w:firstLineChars="0"/>
        <w:rPr>
          <w:rFonts w:ascii="Times New Roman" w:eastAsia="黑体"/>
          <w:color w:val="000000"/>
          <w:szCs w:val="21"/>
        </w:rPr>
      </w:pPr>
      <w:r>
        <w:rPr>
          <w:rFonts w:hint="eastAsia" w:ascii="Times New Roman" w:eastAsia="黑体"/>
          <w:color w:val="000000"/>
          <w:szCs w:val="21"/>
        </w:rPr>
        <w:t>1</w:t>
      </w:r>
      <w:r>
        <w:rPr>
          <w:rFonts w:ascii="Times New Roman" w:eastAsia="黑体"/>
          <w:color w:val="000000"/>
          <w:szCs w:val="21"/>
        </w:rPr>
        <w:t xml:space="preserve"> </w:t>
      </w:r>
      <w:r>
        <w:rPr>
          <w:rFonts w:hint="eastAsia" w:ascii="Times New Roman" w:eastAsia="黑体"/>
          <w:color w:val="000000"/>
          <w:szCs w:val="21"/>
        </w:rPr>
        <w:t xml:space="preserve"> </w:t>
      </w:r>
      <w:r>
        <w:rPr>
          <w:rFonts w:ascii="Times New Roman" w:eastAsia="黑体"/>
          <w:color w:val="000000"/>
          <w:szCs w:val="21"/>
        </w:rPr>
        <w:t>范围</w:t>
      </w:r>
    </w:p>
    <w:p w14:paraId="2617785E">
      <w:pPr>
        <w:pStyle w:val="16"/>
        <w:widowControl w:val="0"/>
        <w:snapToGrid w:val="0"/>
        <w:spacing w:line="300" w:lineRule="auto"/>
        <w:ind w:firstLine="420"/>
        <w:rPr>
          <w:rFonts w:ascii="Times New Roman"/>
          <w:szCs w:val="21"/>
        </w:rPr>
      </w:pPr>
      <w:r>
        <w:rPr>
          <w:rFonts w:ascii="Times New Roman"/>
          <w:color w:val="000000"/>
          <w:szCs w:val="21"/>
        </w:rPr>
        <w:t>本方法</w:t>
      </w:r>
      <w:r>
        <w:rPr>
          <w:rFonts w:hint="eastAsia" w:ascii="Times New Roman"/>
          <w:szCs w:val="21"/>
        </w:rPr>
        <w:t>规定了动物皮肤变态反应试验的基本原则、要求和方法。</w:t>
      </w:r>
    </w:p>
    <w:p w14:paraId="2617785F">
      <w:pPr>
        <w:pStyle w:val="16"/>
        <w:widowControl w:val="0"/>
        <w:snapToGrid w:val="0"/>
        <w:spacing w:line="300" w:lineRule="auto"/>
        <w:ind w:firstLine="420"/>
        <w:rPr>
          <w:rFonts w:ascii="Times New Roman"/>
          <w:color w:val="000000"/>
          <w:szCs w:val="21"/>
        </w:rPr>
      </w:pPr>
      <w:r>
        <w:rPr>
          <w:rFonts w:ascii="Times New Roman"/>
          <w:color w:val="000000"/>
          <w:szCs w:val="21"/>
        </w:rPr>
        <w:t>本方法适用于</w:t>
      </w:r>
      <w:r>
        <w:rPr>
          <w:rFonts w:hint="eastAsia" w:ascii="Times New Roman"/>
          <w:color w:val="000000"/>
          <w:szCs w:val="21"/>
        </w:rPr>
        <w:t>化妆品原料及其产品的安全性毒理学检测。</w:t>
      </w:r>
    </w:p>
    <w:p w14:paraId="26177860">
      <w:pPr>
        <w:pStyle w:val="16"/>
        <w:widowControl w:val="0"/>
        <w:snapToGrid w:val="0"/>
        <w:spacing w:before="156" w:beforeLines="50" w:after="156" w:afterLines="50" w:line="300" w:lineRule="auto"/>
        <w:ind w:firstLine="0" w:firstLineChars="0"/>
        <w:rPr>
          <w:rFonts w:ascii="Times New Roman" w:eastAsia="黑体"/>
          <w:color w:val="000000"/>
          <w:szCs w:val="21"/>
        </w:rPr>
      </w:pPr>
      <w:r>
        <w:rPr>
          <w:rFonts w:hint="eastAsia" w:ascii="Times New Roman" w:eastAsia="黑体"/>
          <w:color w:val="000000"/>
          <w:szCs w:val="21"/>
        </w:rPr>
        <w:t xml:space="preserve">2 </w:t>
      </w:r>
      <w:r>
        <w:rPr>
          <w:rFonts w:ascii="Times New Roman" w:eastAsia="黑体"/>
          <w:color w:val="000000"/>
          <w:szCs w:val="21"/>
        </w:rPr>
        <w:t xml:space="preserve"> 试验目的</w:t>
      </w:r>
    </w:p>
    <w:p w14:paraId="26177861">
      <w:pPr>
        <w:pStyle w:val="16"/>
        <w:widowControl w:val="0"/>
        <w:snapToGrid w:val="0"/>
        <w:spacing w:line="300" w:lineRule="auto"/>
        <w:ind w:firstLine="420"/>
        <w:rPr>
          <w:rFonts w:ascii="Times New Roman"/>
          <w:color w:val="000000"/>
          <w:szCs w:val="21"/>
        </w:rPr>
      </w:pPr>
      <w:r>
        <w:rPr>
          <w:rFonts w:hint="eastAsia" w:ascii="Times New Roman"/>
          <w:color w:val="000000"/>
          <w:szCs w:val="21"/>
        </w:rPr>
        <w:t>确定重复接触化妆品及其原料是否可引起变态反应及其程度。</w:t>
      </w:r>
    </w:p>
    <w:p w14:paraId="26177862">
      <w:pPr>
        <w:pStyle w:val="16"/>
        <w:widowControl w:val="0"/>
        <w:snapToGrid w:val="0"/>
        <w:spacing w:before="156" w:beforeLines="50" w:after="156" w:afterLines="50" w:line="300" w:lineRule="auto"/>
        <w:ind w:firstLine="0" w:firstLineChars="0"/>
        <w:rPr>
          <w:rFonts w:ascii="Times New Roman" w:eastAsia="黑体"/>
          <w:color w:val="000000"/>
          <w:szCs w:val="21"/>
        </w:rPr>
      </w:pPr>
      <w:r>
        <w:rPr>
          <w:rFonts w:hint="eastAsia" w:ascii="Times New Roman" w:eastAsia="黑体"/>
          <w:color w:val="000000"/>
          <w:szCs w:val="21"/>
        </w:rPr>
        <w:t>3</w:t>
      </w:r>
      <w:r>
        <w:rPr>
          <w:rFonts w:ascii="Times New Roman" w:eastAsia="黑体"/>
          <w:color w:val="000000"/>
          <w:szCs w:val="21"/>
        </w:rPr>
        <w:t xml:space="preserve"> </w:t>
      </w:r>
      <w:r>
        <w:rPr>
          <w:rFonts w:hint="eastAsia" w:ascii="Times New Roman" w:eastAsia="黑体"/>
          <w:color w:val="000000"/>
          <w:szCs w:val="21"/>
        </w:rPr>
        <w:t xml:space="preserve"> </w:t>
      </w:r>
      <w:r>
        <w:rPr>
          <w:rFonts w:ascii="Times New Roman" w:eastAsia="黑体"/>
          <w:color w:val="000000"/>
          <w:szCs w:val="21"/>
        </w:rPr>
        <w:t>定义</w:t>
      </w:r>
    </w:p>
    <w:p w14:paraId="26177863">
      <w:pPr>
        <w:pStyle w:val="16"/>
        <w:widowControl w:val="0"/>
        <w:snapToGrid w:val="0"/>
        <w:spacing w:before="156" w:beforeLines="50" w:after="156" w:afterLines="50" w:line="300" w:lineRule="auto"/>
        <w:ind w:firstLine="0" w:firstLineChars="0"/>
        <w:rPr>
          <w:rFonts w:ascii="Times New Roman"/>
          <w:color w:val="000000"/>
          <w:szCs w:val="21"/>
        </w:rPr>
      </w:pPr>
      <w:r>
        <w:rPr>
          <w:rFonts w:ascii="Times New Roman"/>
          <w:color w:val="000000"/>
          <w:szCs w:val="21"/>
        </w:rPr>
        <w:t xml:space="preserve">3.1 </w:t>
      </w:r>
      <w:r>
        <w:rPr>
          <w:rFonts w:hint="eastAsia" w:ascii="Times New Roman"/>
          <w:color w:val="000000"/>
          <w:szCs w:val="21"/>
        </w:rPr>
        <w:t xml:space="preserve"> 皮肤变态反应（过敏性接触性皮炎） skin sensitization，allergic contact dermatitis</w:t>
      </w:r>
    </w:p>
    <w:p w14:paraId="26177864">
      <w:pPr>
        <w:pStyle w:val="16"/>
        <w:widowControl w:val="0"/>
        <w:snapToGrid w:val="0"/>
        <w:spacing w:line="300" w:lineRule="auto"/>
        <w:ind w:firstLine="420"/>
        <w:rPr>
          <w:rFonts w:ascii="Times New Roman"/>
          <w:color w:val="000000"/>
          <w:szCs w:val="21"/>
        </w:rPr>
      </w:pPr>
      <w:r>
        <w:rPr>
          <w:rFonts w:hint="eastAsia" w:ascii="Times New Roman"/>
          <w:color w:val="000000"/>
          <w:szCs w:val="21"/>
        </w:rPr>
        <w:t>皮肤对一种物质产生的免疫原性反应。在人类这种反应可能以瘙痒、红斑、丘疹、水疱、融合水疱为特征。动物的反应不同，可能只见到皮肤红斑和水肿。</w:t>
      </w:r>
    </w:p>
    <w:p w14:paraId="26177865">
      <w:pPr>
        <w:pStyle w:val="16"/>
        <w:widowControl w:val="0"/>
        <w:snapToGrid w:val="0"/>
        <w:spacing w:before="156" w:beforeLines="50" w:after="156" w:afterLines="50" w:line="300" w:lineRule="auto"/>
        <w:ind w:firstLine="0" w:firstLineChars="0"/>
        <w:rPr>
          <w:rFonts w:ascii="Times New Roman"/>
          <w:color w:val="000000"/>
          <w:szCs w:val="21"/>
        </w:rPr>
      </w:pPr>
      <w:r>
        <w:rPr>
          <w:rFonts w:ascii="Times New Roman"/>
          <w:color w:val="000000"/>
          <w:szCs w:val="21"/>
        </w:rPr>
        <w:t xml:space="preserve">3.2 </w:t>
      </w:r>
      <w:r>
        <w:rPr>
          <w:rFonts w:hint="eastAsia" w:ascii="Times New Roman"/>
          <w:color w:val="000000"/>
          <w:szCs w:val="21"/>
        </w:rPr>
        <w:t xml:space="preserve"> 诱导接触 induction exposure</w:t>
      </w:r>
    </w:p>
    <w:p w14:paraId="26177866">
      <w:pPr>
        <w:pStyle w:val="16"/>
        <w:widowControl w:val="0"/>
        <w:snapToGrid w:val="0"/>
        <w:spacing w:line="300" w:lineRule="auto"/>
        <w:ind w:firstLine="420"/>
        <w:rPr>
          <w:rFonts w:ascii="Times New Roman"/>
          <w:color w:val="000000"/>
          <w:szCs w:val="21"/>
        </w:rPr>
      </w:pPr>
      <w:r>
        <w:rPr>
          <w:rFonts w:hint="eastAsia" w:ascii="Times New Roman"/>
          <w:color w:val="000000"/>
          <w:szCs w:val="21"/>
        </w:rPr>
        <w:t>机体通过接触受试物而诱导出过敏状态的试验性暴露。</w:t>
      </w:r>
    </w:p>
    <w:p w14:paraId="26177867">
      <w:pPr>
        <w:pStyle w:val="16"/>
        <w:widowControl w:val="0"/>
        <w:snapToGrid w:val="0"/>
        <w:spacing w:before="156" w:beforeLines="50" w:after="156" w:afterLines="50" w:line="300" w:lineRule="auto"/>
        <w:ind w:firstLine="0" w:firstLineChars="0"/>
        <w:rPr>
          <w:rFonts w:ascii="Times New Roman"/>
          <w:color w:val="000000"/>
          <w:szCs w:val="21"/>
        </w:rPr>
      </w:pPr>
      <w:r>
        <w:rPr>
          <w:rFonts w:ascii="Times New Roman"/>
          <w:color w:val="000000"/>
          <w:szCs w:val="21"/>
        </w:rPr>
        <w:t>3.</w:t>
      </w:r>
      <w:r>
        <w:rPr>
          <w:rFonts w:hint="eastAsia" w:ascii="Times New Roman"/>
          <w:color w:val="000000"/>
          <w:szCs w:val="21"/>
        </w:rPr>
        <w:t>3</w:t>
      </w:r>
      <w:r>
        <w:rPr>
          <w:rFonts w:ascii="Times New Roman"/>
          <w:color w:val="000000"/>
          <w:szCs w:val="21"/>
        </w:rPr>
        <w:t xml:space="preserve"> </w:t>
      </w:r>
      <w:r>
        <w:rPr>
          <w:rFonts w:hint="eastAsia" w:ascii="Times New Roman"/>
          <w:color w:val="000000"/>
          <w:szCs w:val="21"/>
        </w:rPr>
        <w:t xml:space="preserve"> 诱导阶段 induction period</w:t>
      </w:r>
    </w:p>
    <w:p w14:paraId="26177868">
      <w:pPr>
        <w:pStyle w:val="16"/>
        <w:widowControl w:val="0"/>
        <w:snapToGrid w:val="0"/>
        <w:spacing w:line="300" w:lineRule="auto"/>
        <w:ind w:firstLine="420"/>
        <w:rPr>
          <w:rFonts w:ascii="Times New Roman"/>
          <w:color w:val="000000"/>
          <w:szCs w:val="21"/>
        </w:rPr>
      </w:pPr>
      <w:r>
        <w:rPr>
          <w:rFonts w:hint="eastAsia" w:ascii="Times New Roman"/>
          <w:color w:val="000000"/>
          <w:szCs w:val="21"/>
        </w:rPr>
        <w:t>机体通过接触受试物而诱导出过敏状态所需的时间，一般至少一周。</w:t>
      </w:r>
    </w:p>
    <w:p w14:paraId="26177869">
      <w:pPr>
        <w:pStyle w:val="16"/>
        <w:widowControl w:val="0"/>
        <w:snapToGrid w:val="0"/>
        <w:spacing w:before="156" w:beforeLines="50" w:after="156" w:afterLines="50" w:line="300" w:lineRule="auto"/>
        <w:ind w:firstLine="0" w:firstLineChars="0"/>
        <w:rPr>
          <w:rFonts w:ascii="Times New Roman"/>
          <w:color w:val="000000"/>
          <w:szCs w:val="21"/>
        </w:rPr>
      </w:pPr>
      <w:r>
        <w:rPr>
          <w:rFonts w:ascii="Times New Roman"/>
          <w:color w:val="000000"/>
          <w:szCs w:val="21"/>
        </w:rPr>
        <w:t>3.</w:t>
      </w:r>
      <w:r>
        <w:rPr>
          <w:rFonts w:hint="eastAsia" w:ascii="Times New Roman"/>
          <w:color w:val="000000"/>
          <w:szCs w:val="21"/>
        </w:rPr>
        <w:t>4</w:t>
      </w:r>
      <w:r>
        <w:rPr>
          <w:rFonts w:ascii="Times New Roman"/>
          <w:color w:val="000000"/>
          <w:szCs w:val="21"/>
        </w:rPr>
        <w:t xml:space="preserve"> </w:t>
      </w:r>
      <w:r>
        <w:rPr>
          <w:rFonts w:hint="eastAsia" w:ascii="Times New Roman"/>
          <w:color w:val="000000"/>
          <w:szCs w:val="21"/>
        </w:rPr>
        <w:t xml:space="preserve"> 激发接触 challenge exposure</w:t>
      </w:r>
    </w:p>
    <w:p w14:paraId="2617786A">
      <w:pPr>
        <w:pStyle w:val="16"/>
        <w:widowControl w:val="0"/>
        <w:snapToGrid w:val="0"/>
        <w:spacing w:line="300" w:lineRule="auto"/>
        <w:ind w:firstLine="420"/>
        <w:rPr>
          <w:rFonts w:ascii="Times New Roman"/>
          <w:color w:val="000000"/>
          <w:szCs w:val="21"/>
        </w:rPr>
      </w:pPr>
      <w:r>
        <w:rPr>
          <w:rFonts w:hint="eastAsia" w:ascii="Times New Roman"/>
          <w:color w:val="000000"/>
          <w:szCs w:val="21"/>
        </w:rPr>
        <w:t>机体接受诱导暴露后，再次接触受试物的试验性暴露，以确定皮肤是否会出现过敏反应。</w:t>
      </w:r>
    </w:p>
    <w:p w14:paraId="2617786B">
      <w:pPr>
        <w:pStyle w:val="16"/>
        <w:widowControl w:val="0"/>
        <w:snapToGrid w:val="0"/>
        <w:spacing w:before="156" w:beforeLines="50" w:after="156" w:afterLines="50" w:line="300" w:lineRule="auto"/>
        <w:ind w:firstLine="0" w:firstLineChars="0"/>
        <w:rPr>
          <w:rFonts w:ascii="Times New Roman" w:eastAsia="黑体"/>
          <w:color w:val="000000"/>
          <w:szCs w:val="21"/>
        </w:rPr>
      </w:pPr>
      <w:r>
        <w:rPr>
          <w:rFonts w:hint="eastAsia" w:ascii="Times New Roman" w:eastAsia="黑体"/>
          <w:color w:val="000000"/>
          <w:szCs w:val="21"/>
        </w:rPr>
        <w:t>4  试验的基本原则</w:t>
      </w:r>
    </w:p>
    <w:p w14:paraId="2617786C">
      <w:pPr>
        <w:pStyle w:val="16"/>
        <w:widowControl w:val="0"/>
        <w:snapToGrid w:val="0"/>
        <w:spacing w:line="300" w:lineRule="auto"/>
        <w:ind w:firstLine="420"/>
        <w:rPr>
          <w:rFonts w:ascii="Times New Roman"/>
          <w:color w:val="000000"/>
          <w:szCs w:val="21"/>
        </w:rPr>
      </w:pPr>
      <w:r>
        <w:rPr>
          <w:rFonts w:hint="eastAsia" w:ascii="Times New Roman"/>
          <w:color w:val="000000"/>
          <w:szCs w:val="21"/>
        </w:rPr>
        <w:t xml:space="preserve">实验动物通过多次皮肤涂抹（诱导接触）或皮内注射受试物 10 d </w:t>
      </w:r>
      <w:r>
        <w:rPr>
          <w:rFonts w:hint="eastAsia" w:ascii="仿宋_GB2312" w:eastAsia="仿宋_GB2312"/>
          <w:color w:val="000000"/>
          <w:szCs w:val="21"/>
        </w:rPr>
        <w:t xml:space="preserve">～ </w:t>
      </w:r>
      <w:r>
        <w:rPr>
          <w:rFonts w:hint="eastAsia" w:ascii="Times New Roman"/>
          <w:color w:val="000000"/>
          <w:szCs w:val="21"/>
        </w:rPr>
        <w:t>14 d （诱导阶段）后，给予激发剂量的受试物，观察实验动物并与对照动物比较对激发接触受试物的皮肤反应强度。</w:t>
      </w:r>
    </w:p>
    <w:p w14:paraId="2617786D">
      <w:pPr>
        <w:pStyle w:val="16"/>
        <w:widowControl w:val="0"/>
        <w:snapToGrid w:val="0"/>
        <w:spacing w:before="156" w:beforeLines="50" w:after="156" w:afterLines="50" w:line="300" w:lineRule="auto"/>
        <w:ind w:firstLine="0" w:firstLineChars="0"/>
        <w:rPr>
          <w:rFonts w:ascii="Times New Roman"/>
          <w:color w:val="000000"/>
          <w:szCs w:val="21"/>
        </w:rPr>
      </w:pPr>
      <w:r>
        <w:rPr>
          <w:rFonts w:hint="eastAsia" w:ascii="Times New Roman"/>
          <w:color w:val="000000"/>
          <w:szCs w:val="21"/>
        </w:rPr>
        <w:t>4</w:t>
      </w:r>
      <w:r>
        <w:rPr>
          <w:rFonts w:ascii="Times New Roman"/>
          <w:color w:val="000000"/>
          <w:szCs w:val="21"/>
        </w:rPr>
        <w:t>.</w:t>
      </w:r>
      <w:r>
        <w:rPr>
          <w:rFonts w:hint="eastAsia" w:ascii="Times New Roman"/>
          <w:color w:val="000000"/>
          <w:szCs w:val="21"/>
        </w:rPr>
        <w:t>1</w:t>
      </w:r>
      <w:r>
        <w:rPr>
          <w:rFonts w:ascii="Times New Roman"/>
          <w:color w:val="000000"/>
          <w:szCs w:val="21"/>
        </w:rPr>
        <w:t xml:space="preserve"> </w:t>
      </w:r>
      <w:r>
        <w:rPr>
          <w:rFonts w:hint="eastAsia" w:ascii="Times New Roman"/>
          <w:color w:val="000000"/>
          <w:szCs w:val="21"/>
        </w:rPr>
        <w:t xml:space="preserve"> 实验动物和饲养环境 </w:t>
      </w:r>
    </w:p>
    <w:p w14:paraId="2617786E">
      <w:pPr>
        <w:pStyle w:val="16"/>
        <w:widowControl w:val="0"/>
        <w:snapToGrid w:val="0"/>
        <w:spacing w:line="300" w:lineRule="auto"/>
        <w:ind w:left="210" w:leftChars="100" w:firstLine="210" w:firstLineChars="100"/>
        <w:rPr>
          <w:rFonts w:ascii="Times New Roman"/>
          <w:color w:val="000000"/>
          <w:szCs w:val="21"/>
        </w:rPr>
      </w:pPr>
      <w:r>
        <w:rPr>
          <w:rFonts w:hint="eastAsia" w:ascii="Times New Roman"/>
          <w:color w:val="000000"/>
          <w:szCs w:val="21"/>
        </w:rPr>
        <w:t xml:space="preserve">一般选用健康、成年雄性或雌性白化豚鼠，雌性动物应选用未孕或未曾产仔的，体重在250 g </w:t>
      </w:r>
      <w:r>
        <w:rPr>
          <w:rFonts w:hint="eastAsia" w:ascii="仿宋_GB2312" w:eastAsia="仿宋_GB2312"/>
          <w:color w:val="000000"/>
          <w:szCs w:val="21"/>
        </w:rPr>
        <w:t xml:space="preserve">～ </w:t>
      </w:r>
      <w:r>
        <w:rPr>
          <w:rFonts w:hint="eastAsia" w:ascii="Times New Roman"/>
          <w:color w:val="000000"/>
          <w:szCs w:val="21"/>
        </w:rPr>
        <w:t>350 g 之间。</w:t>
      </w:r>
    </w:p>
    <w:p w14:paraId="2617786F">
      <w:pPr>
        <w:pStyle w:val="16"/>
        <w:widowControl w:val="0"/>
        <w:snapToGrid w:val="0"/>
        <w:spacing w:line="300" w:lineRule="auto"/>
        <w:ind w:firstLine="420"/>
        <w:rPr>
          <w:rFonts w:ascii="Times New Roman"/>
          <w:color w:val="000000"/>
          <w:szCs w:val="21"/>
        </w:rPr>
      </w:pPr>
      <w:r>
        <w:rPr>
          <w:rFonts w:hint="eastAsia" w:ascii="Times New Roman"/>
          <w:color w:val="000000"/>
          <w:szCs w:val="21"/>
        </w:rPr>
        <w:t>实验动物及实验动物房应符合国家相应规定。选用标准配合饲料，饮水不限制，需注意补充适量 Vc。</w:t>
      </w:r>
    </w:p>
    <w:p w14:paraId="26177870">
      <w:pPr>
        <w:pStyle w:val="16"/>
        <w:widowControl w:val="0"/>
        <w:snapToGrid w:val="0"/>
        <w:spacing w:before="156" w:beforeLines="50" w:after="156" w:afterLines="50" w:line="300" w:lineRule="auto"/>
        <w:ind w:firstLine="0" w:firstLineChars="0"/>
        <w:rPr>
          <w:rFonts w:ascii="Times New Roman"/>
          <w:color w:val="000000"/>
          <w:szCs w:val="21"/>
        </w:rPr>
      </w:pPr>
      <w:r>
        <w:rPr>
          <w:rFonts w:hint="eastAsia" w:ascii="Times New Roman"/>
          <w:color w:val="000000"/>
          <w:szCs w:val="21"/>
        </w:rPr>
        <w:t>4</w:t>
      </w:r>
      <w:r>
        <w:rPr>
          <w:rFonts w:ascii="Times New Roman"/>
          <w:color w:val="000000"/>
          <w:szCs w:val="21"/>
        </w:rPr>
        <w:t>.</w:t>
      </w:r>
      <w:r>
        <w:rPr>
          <w:rFonts w:hint="eastAsia" w:ascii="Times New Roman"/>
          <w:color w:val="000000"/>
          <w:szCs w:val="21"/>
        </w:rPr>
        <w:t>2</w:t>
      </w:r>
      <w:r>
        <w:rPr>
          <w:rFonts w:ascii="Times New Roman"/>
          <w:color w:val="000000"/>
          <w:szCs w:val="21"/>
        </w:rPr>
        <w:t xml:space="preserve"> </w:t>
      </w:r>
      <w:r>
        <w:rPr>
          <w:rFonts w:hint="eastAsia" w:ascii="Times New Roman"/>
          <w:color w:val="000000"/>
          <w:szCs w:val="21"/>
        </w:rPr>
        <w:t xml:space="preserve"> 动物试验前准备</w:t>
      </w:r>
    </w:p>
    <w:p w14:paraId="26177871">
      <w:pPr>
        <w:pStyle w:val="16"/>
        <w:widowControl w:val="0"/>
        <w:snapToGrid w:val="0"/>
        <w:spacing w:line="300" w:lineRule="auto"/>
        <w:ind w:firstLine="420"/>
        <w:rPr>
          <w:rFonts w:ascii="Times New Roman"/>
          <w:color w:val="000000"/>
          <w:szCs w:val="21"/>
        </w:rPr>
      </w:pPr>
      <w:r>
        <w:rPr>
          <w:rFonts w:hint="eastAsia" w:ascii="Times New Roman"/>
          <w:color w:val="000000"/>
          <w:szCs w:val="21"/>
        </w:rPr>
        <w:t xml:space="preserve">试验前动物要在实验动物房环境中至少适应 3 d </w:t>
      </w:r>
      <w:r>
        <w:rPr>
          <w:rFonts w:hint="eastAsia" w:ascii="仿宋_GB2312" w:eastAsia="仿宋_GB2312"/>
          <w:color w:val="000000"/>
          <w:szCs w:val="21"/>
        </w:rPr>
        <w:t xml:space="preserve">～ </w:t>
      </w:r>
      <w:r>
        <w:rPr>
          <w:rFonts w:hint="eastAsia" w:ascii="Times New Roman"/>
          <w:color w:val="000000"/>
          <w:szCs w:val="21"/>
        </w:rPr>
        <w:t>5 d 时间。将动物随机分为受试物组和对照组，按所选用的试验方法，选择适当背部部位给动物去毛，避免损伤皮肤。试验开始和结束时应记录动物体重。</w:t>
      </w:r>
    </w:p>
    <w:p w14:paraId="26177872">
      <w:pPr>
        <w:pStyle w:val="16"/>
        <w:widowControl w:val="0"/>
        <w:snapToGrid w:val="0"/>
        <w:spacing w:line="300" w:lineRule="auto"/>
        <w:ind w:firstLine="420"/>
        <w:rPr>
          <w:rFonts w:ascii="Times New Roman"/>
          <w:color w:val="000000"/>
          <w:szCs w:val="21"/>
        </w:rPr>
      </w:pPr>
    </w:p>
    <w:p w14:paraId="26177873">
      <w:pPr>
        <w:pStyle w:val="16"/>
        <w:widowControl w:val="0"/>
        <w:snapToGrid w:val="0"/>
        <w:spacing w:before="156" w:beforeLines="50" w:after="156" w:afterLines="50" w:line="300" w:lineRule="auto"/>
        <w:ind w:firstLine="0" w:firstLineChars="0"/>
        <w:rPr>
          <w:rFonts w:ascii="Times New Roman"/>
          <w:color w:val="000000"/>
          <w:szCs w:val="21"/>
        </w:rPr>
      </w:pPr>
      <w:r>
        <w:rPr>
          <w:rFonts w:hint="eastAsia" w:ascii="Times New Roman"/>
          <w:color w:val="000000"/>
          <w:szCs w:val="21"/>
        </w:rPr>
        <w:t>4.3  无论在诱导阶段或激发阶段均应对动物进行全面观察包括全身反应和局部反应，并作完整记录。</w:t>
      </w:r>
    </w:p>
    <w:p w14:paraId="26177874">
      <w:pPr>
        <w:pStyle w:val="16"/>
        <w:widowControl w:val="0"/>
        <w:snapToGrid w:val="0"/>
        <w:spacing w:before="156" w:beforeLines="50" w:after="156" w:afterLines="50" w:line="300" w:lineRule="auto"/>
        <w:ind w:firstLine="0" w:firstLineChars="0"/>
        <w:rPr>
          <w:rFonts w:ascii="Times New Roman"/>
          <w:color w:val="000000"/>
          <w:szCs w:val="21"/>
        </w:rPr>
      </w:pPr>
      <w:r>
        <w:rPr>
          <w:rFonts w:hint="eastAsia" w:ascii="Times New Roman"/>
          <w:color w:val="000000"/>
          <w:szCs w:val="21"/>
        </w:rPr>
        <w:t xml:space="preserve">4.4  试验方法可靠性的检查 </w:t>
      </w:r>
    </w:p>
    <w:p w14:paraId="26177875">
      <w:pPr>
        <w:pStyle w:val="16"/>
        <w:widowControl w:val="0"/>
        <w:snapToGrid w:val="0"/>
        <w:spacing w:line="300" w:lineRule="auto"/>
        <w:ind w:firstLine="420"/>
        <w:rPr>
          <w:rFonts w:ascii="Times New Roman"/>
          <w:color w:val="000000"/>
          <w:szCs w:val="21"/>
        </w:rPr>
      </w:pPr>
      <w:r>
        <w:rPr>
          <w:rFonts w:hint="eastAsia" w:ascii="Times New Roman"/>
          <w:color w:val="000000"/>
          <w:szCs w:val="21"/>
        </w:rPr>
        <w:t>使用已知的能引起轻度/中度致敏的阳性物每隔半年检查一次。局部封闭涂皮法激发后任一观察时间点至少有 15% 动物出现皮肤过敏反应；皮内注射法激发后任一观察时间点至少有 30% 动物出现皮肤过敏反应。阳性物一般采用肉桂醛，2-巯基苯并噻唑或对氨基苯酸乙酯。</w:t>
      </w:r>
    </w:p>
    <w:p w14:paraId="26177876">
      <w:pPr>
        <w:pStyle w:val="16"/>
        <w:widowControl w:val="0"/>
        <w:snapToGrid w:val="0"/>
        <w:spacing w:before="156" w:beforeLines="50" w:after="156" w:afterLines="50" w:line="300" w:lineRule="auto"/>
        <w:ind w:firstLine="0" w:firstLineChars="0"/>
        <w:rPr>
          <w:rFonts w:ascii="Times New Roman" w:eastAsia="黑体"/>
          <w:color w:val="000000"/>
          <w:szCs w:val="21"/>
        </w:rPr>
      </w:pPr>
      <w:r>
        <w:rPr>
          <w:rFonts w:hint="eastAsia" w:ascii="Times New Roman" w:eastAsia="黑体"/>
          <w:color w:val="000000"/>
          <w:szCs w:val="21"/>
        </w:rPr>
        <w:t>5  试剂方法</w:t>
      </w:r>
    </w:p>
    <w:p w14:paraId="26177877">
      <w:pPr>
        <w:pStyle w:val="16"/>
        <w:widowControl w:val="0"/>
        <w:snapToGrid w:val="0"/>
        <w:spacing w:before="156" w:beforeLines="50" w:after="156" w:afterLines="50" w:line="300" w:lineRule="auto"/>
        <w:ind w:firstLine="0" w:firstLineChars="0"/>
        <w:rPr>
          <w:rFonts w:ascii="Times New Roman"/>
          <w:color w:val="000000"/>
          <w:szCs w:val="21"/>
        </w:rPr>
      </w:pPr>
      <w:r>
        <w:rPr>
          <w:rFonts w:ascii="Times New Roman"/>
          <w:color w:val="000000"/>
          <w:szCs w:val="21"/>
        </w:rPr>
        <w:t>5</w:t>
      </w:r>
      <w:r>
        <w:rPr>
          <w:rFonts w:hint="eastAsia" w:ascii="Times New Roman"/>
          <w:color w:val="000000"/>
          <w:szCs w:val="21"/>
        </w:rPr>
        <w:t>.1  局部封闭涂皮试验（Buehler Test, BT）</w:t>
      </w:r>
    </w:p>
    <w:p w14:paraId="26177878">
      <w:pPr>
        <w:pStyle w:val="16"/>
        <w:widowControl w:val="0"/>
        <w:snapToGrid w:val="0"/>
        <w:spacing w:before="156" w:beforeLines="50" w:after="156" w:afterLines="50" w:line="300" w:lineRule="auto"/>
        <w:ind w:firstLine="0" w:firstLineChars="0"/>
        <w:rPr>
          <w:rFonts w:ascii="Times New Roman"/>
          <w:color w:val="000000"/>
          <w:szCs w:val="21"/>
        </w:rPr>
      </w:pPr>
      <w:r>
        <w:rPr>
          <w:rFonts w:ascii="Times New Roman"/>
          <w:color w:val="000000"/>
          <w:szCs w:val="21"/>
        </w:rPr>
        <w:t>5</w:t>
      </w:r>
      <w:r>
        <w:rPr>
          <w:rFonts w:hint="eastAsia" w:ascii="Times New Roman"/>
          <w:color w:val="000000"/>
          <w:szCs w:val="21"/>
        </w:rPr>
        <w:t>.1.1 动物数</w:t>
      </w:r>
    </w:p>
    <w:p w14:paraId="26177879">
      <w:pPr>
        <w:pStyle w:val="16"/>
        <w:widowControl w:val="0"/>
        <w:snapToGrid w:val="0"/>
        <w:spacing w:line="300" w:lineRule="auto"/>
        <w:ind w:firstLine="420"/>
        <w:rPr>
          <w:rFonts w:ascii="Times New Roman"/>
          <w:color w:val="000000"/>
          <w:szCs w:val="21"/>
        </w:rPr>
      </w:pPr>
      <w:r>
        <w:rPr>
          <w:rFonts w:hint="eastAsia" w:ascii="Times New Roman"/>
          <w:color w:val="000000"/>
          <w:szCs w:val="21"/>
        </w:rPr>
        <w:t>试验组至少 20 只，阳性对照组 20 只，阴性对照组至少 10 只。</w:t>
      </w:r>
    </w:p>
    <w:p w14:paraId="2617787A">
      <w:pPr>
        <w:pStyle w:val="16"/>
        <w:widowControl w:val="0"/>
        <w:snapToGrid w:val="0"/>
        <w:spacing w:before="156" w:beforeLines="50" w:after="156" w:afterLines="50" w:line="300" w:lineRule="auto"/>
        <w:ind w:firstLine="0" w:firstLineChars="0"/>
        <w:rPr>
          <w:rFonts w:ascii="Times New Roman"/>
          <w:color w:val="000000"/>
          <w:szCs w:val="21"/>
        </w:rPr>
      </w:pPr>
      <w:r>
        <w:rPr>
          <w:rFonts w:hint="eastAsia" w:ascii="Times New Roman"/>
          <w:color w:val="000000"/>
          <w:szCs w:val="21"/>
        </w:rPr>
        <w:t>5.1.2 剂量水平</w:t>
      </w:r>
    </w:p>
    <w:p w14:paraId="2617787B">
      <w:pPr>
        <w:pStyle w:val="16"/>
        <w:widowControl w:val="0"/>
        <w:snapToGrid w:val="0"/>
        <w:spacing w:line="300" w:lineRule="auto"/>
        <w:ind w:firstLine="420"/>
        <w:rPr>
          <w:rFonts w:ascii="Times New Roman"/>
          <w:color w:val="000000"/>
          <w:szCs w:val="21"/>
        </w:rPr>
      </w:pPr>
      <w:r>
        <w:rPr>
          <w:rFonts w:hint="eastAsia" w:ascii="Times New Roman"/>
          <w:color w:val="000000"/>
          <w:szCs w:val="21"/>
        </w:rPr>
        <w:t xml:space="preserve">诱导接触受试物浓度为能引起皮肤轻度刺激反应的最高浓度，激发接触受试物浓度为不能引起皮肤刺激反应的最高浓度。试验浓度水平可以通过少量动物（2 </w:t>
      </w:r>
      <w:r>
        <w:rPr>
          <w:rFonts w:hint="eastAsia" w:ascii="仿宋_GB2312" w:eastAsia="仿宋_GB2312"/>
          <w:color w:val="000000"/>
          <w:szCs w:val="21"/>
        </w:rPr>
        <w:t xml:space="preserve">～ </w:t>
      </w:r>
      <w:r>
        <w:rPr>
          <w:rFonts w:hint="eastAsia" w:ascii="Times New Roman"/>
          <w:color w:val="000000"/>
          <w:szCs w:val="21"/>
        </w:rPr>
        <w:t>3 只）的预试验获得。</w:t>
      </w:r>
    </w:p>
    <w:p w14:paraId="2617787C">
      <w:pPr>
        <w:pStyle w:val="16"/>
        <w:widowControl w:val="0"/>
        <w:snapToGrid w:val="0"/>
        <w:spacing w:line="300" w:lineRule="auto"/>
        <w:ind w:firstLine="420"/>
        <w:rPr>
          <w:rFonts w:ascii="Times New Roman"/>
          <w:color w:val="000000"/>
          <w:szCs w:val="21"/>
        </w:rPr>
      </w:pPr>
      <w:r>
        <w:rPr>
          <w:rFonts w:hint="eastAsia" w:ascii="Times New Roman"/>
          <w:color w:val="000000"/>
          <w:szCs w:val="21"/>
        </w:rPr>
        <w:t>水溶性受试物可用水或用无刺激性表面活性剂作为溶剂，其他受试物可用 80% 乙醇或丙酮等作为溶剂，并设溶剂对照。</w:t>
      </w:r>
    </w:p>
    <w:p w14:paraId="2617787D">
      <w:pPr>
        <w:pStyle w:val="16"/>
        <w:widowControl w:val="0"/>
        <w:snapToGrid w:val="0"/>
        <w:spacing w:before="156" w:beforeLines="50" w:after="156" w:afterLines="50" w:line="300" w:lineRule="auto"/>
        <w:ind w:firstLine="0" w:firstLineChars="0"/>
        <w:rPr>
          <w:rFonts w:ascii="Times New Roman"/>
          <w:color w:val="000000"/>
          <w:szCs w:val="21"/>
        </w:rPr>
      </w:pPr>
      <w:r>
        <w:rPr>
          <w:rFonts w:hint="eastAsia" w:ascii="Times New Roman"/>
          <w:color w:val="000000"/>
          <w:szCs w:val="21"/>
        </w:rPr>
        <w:t>5.1.3 试验步骤</w:t>
      </w:r>
    </w:p>
    <w:p w14:paraId="2617787E">
      <w:pPr>
        <w:pStyle w:val="16"/>
        <w:widowControl w:val="0"/>
        <w:snapToGrid w:val="0"/>
        <w:spacing w:before="156" w:beforeLines="50" w:after="156" w:afterLines="50" w:line="300" w:lineRule="auto"/>
        <w:ind w:firstLine="0" w:firstLineChars="0"/>
        <w:rPr>
          <w:rFonts w:ascii="Times New Roman"/>
          <w:color w:val="000000"/>
          <w:szCs w:val="21"/>
        </w:rPr>
      </w:pPr>
      <w:r>
        <w:rPr>
          <w:rFonts w:hint="eastAsia" w:ascii="Times New Roman"/>
          <w:color w:val="000000"/>
          <w:szCs w:val="21"/>
        </w:rPr>
        <w:t>5.1.3.1 试验前约 24 h，将豚鼠背部左侧去毛，去毛范围为 4 cm</w:t>
      </w:r>
      <w:r>
        <w:rPr>
          <w:rFonts w:hint="eastAsia" w:ascii="Times New Roman"/>
          <w:color w:val="000000"/>
          <w:szCs w:val="21"/>
          <w:vertAlign w:val="superscript"/>
        </w:rPr>
        <w:t xml:space="preserve">2 </w:t>
      </w:r>
      <w:r>
        <w:rPr>
          <w:rFonts w:hint="eastAsia" w:ascii="仿宋_GB2312" w:eastAsia="仿宋_GB2312"/>
          <w:color w:val="000000"/>
          <w:szCs w:val="21"/>
        </w:rPr>
        <w:t xml:space="preserve">～ </w:t>
      </w:r>
      <w:r>
        <w:rPr>
          <w:rFonts w:hint="eastAsia" w:ascii="Times New Roman"/>
          <w:color w:val="000000"/>
          <w:szCs w:val="21"/>
        </w:rPr>
        <w:t>6 cm</w:t>
      </w:r>
      <w:r>
        <w:rPr>
          <w:rFonts w:hint="eastAsia" w:ascii="Times New Roman"/>
          <w:color w:val="000000"/>
          <w:szCs w:val="21"/>
          <w:vertAlign w:val="superscript"/>
        </w:rPr>
        <w:t>2</w:t>
      </w:r>
      <w:r>
        <w:rPr>
          <w:rFonts w:hint="eastAsia" w:ascii="Times New Roman"/>
          <w:color w:val="000000"/>
          <w:szCs w:val="21"/>
        </w:rPr>
        <w:t>。</w:t>
      </w:r>
    </w:p>
    <w:p w14:paraId="2617787F">
      <w:pPr>
        <w:pStyle w:val="16"/>
        <w:widowControl w:val="0"/>
        <w:snapToGrid w:val="0"/>
        <w:spacing w:before="156" w:beforeLines="50" w:after="156" w:afterLines="50" w:line="300" w:lineRule="auto"/>
        <w:ind w:firstLine="0" w:firstLineChars="0"/>
        <w:rPr>
          <w:rFonts w:ascii="Times New Roman"/>
          <w:color w:val="000000"/>
          <w:szCs w:val="21"/>
        </w:rPr>
      </w:pPr>
      <w:r>
        <w:rPr>
          <w:rFonts w:hint="eastAsia" w:ascii="Times New Roman"/>
          <w:color w:val="000000"/>
          <w:szCs w:val="21"/>
        </w:rPr>
        <w:t>5.1.3.2 诱导接触：将受试物约 0.2 mL（g） 涂在实验动物去毛区皮肤上，以二层纱布和一层玻璃纸覆盖，再以无刺激胶布封闭固定 6 h。第 7 d 和第 14 d 以同样方法重复一次。</w:t>
      </w:r>
    </w:p>
    <w:p w14:paraId="26177880">
      <w:pPr>
        <w:pStyle w:val="16"/>
        <w:widowControl w:val="0"/>
        <w:snapToGrid w:val="0"/>
        <w:spacing w:before="156" w:beforeLines="50" w:after="156" w:afterLines="50" w:line="300" w:lineRule="auto"/>
        <w:ind w:firstLine="0" w:firstLineChars="0"/>
        <w:rPr>
          <w:rFonts w:ascii="Times New Roman"/>
          <w:color w:val="000000"/>
          <w:szCs w:val="21"/>
        </w:rPr>
      </w:pPr>
      <w:r>
        <w:rPr>
          <w:rFonts w:hint="eastAsia" w:ascii="Times New Roman"/>
          <w:color w:val="000000"/>
          <w:szCs w:val="21"/>
        </w:rPr>
        <w:t>5.1.3.3 激发接触：末次诱导后 14 d ～ 28 d，将约 0.2 mL（g）的受试物涂于豚鼠背部右侧 2 cm× 2 cm 去毛区（接触前 24 h 脱毛），然后用二层纱布和一层玻璃纸覆盖，再以无刺激胶布固定 6h。</w:t>
      </w:r>
    </w:p>
    <w:p w14:paraId="26177881">
      <w:pPr>
        <w:pStyle w:val="16"/>
        <w:widowControl w:val="0"/>
        <w:snapToGrid w:val="0"/>
        <w:spacing w:before="156" w:beforeLines="50" w:after="156" w:afterLines="50" w:line="300" w:lineRule="auto"/>
        <w:ind w:firstLine="0" w:firstLineChars="0"/>
        <w:rPr>
          <w:rFonts w:ascii="Times New Roman"/>
          <w:color w:val="000000"/>
          <w:szCs w:val="21"/>
        </w:rPr>
      </w:pPr>
      <w:r>
        <w:rPr>
          <w:rFonts w:hint="eastAsia" w:ascii="Times New Roman"/>
          <w:color w:val="000000"/>
          <w:szCs w:val="21"/>
        </w:rPr>
        <w:t>5.1.3.4 激发接触后 24 h 和 48 h 观察皮肤反应，按表 1 评分。</w:t>
      </w:r>
    </w:p>
    <w:p w14:paraId="26177882">
      <w:pPr>
        <w:pStyle w:val="16"/>
        <w:widowControl w:val="0"/>
        <w:snapToGrid w:val="0"/>
        <w:spacing w:before="156" w:beforeLines="50" w:after="156" w:afterLines="50" w:line="300" w:lineRule="auto"/>
        <w:ind w:firstLine="0" w:firstLineChars="0"/>
        <w:rPr>
          <w:rFonts w:ascii="Times New Roman"/>
          <w:color w:val="000000"/>
          <w:szCs w:val="21"/>
        </w:rPr>
      </w:pPr>
      <w:r>
        <w:rPr>
          <w:rFonts w:hint="eastAsia" w:ascii="Times New Roman"/>
          <w:color w:val="000000"/>
          <w:szCs w:val="21"/>
        </w:rPr>
        <w:t>5.1.3.5 试验中需设阴性对照组，使用 5.1.3.2 和 5.1.3.3 的方法，在诱导接触时仅涂以溶剂作为对照，在激发接触时涂以受试物。对照组动物必须和受试物组动物为同一批。在实验室开展变态反应试验初期，或使用新的动物种属或品系时，需同时设阳性对照组。</w:t>
      </w:r>
    </w:p>
    <w:p w14:paraId="26177883">
      <w:pPr>
        <w:pStyle w:val="16"/>
        <w:widowControl w:val="0"/>
        <w:snapToGrid w:val="0"/>
        <w:spacing w:before="156" w:beforeLines="50" w:after="156" w:afterLines="50" w:line="300" w:lineRule="auto"/>
        <w:ind w:firstLine="0" w:firstLineChars="0"/>
        <w:rPr>
          <w:rFonts w:ascii="Times New Roman"/>
          <w:color w:val="000000"/>
          <w:szCs w:val="21"/>
        </w:rPr>
      </w:pPr>
      <w:r>
        <w:rPr>
          <w:rFonts w:hint="eastAsia" w:ascii="Times New Roman"/>
          <w:color w:val="000000"/>
          <w:szCs w:val="21"/>
        </w:rPr>
        <w:t>5.1.4 结果评价</w:t>
      </w:r>
    </w:p>
    <w:p w14:paraId="26177884">
      <w:pPr>
        <w:pStyle w:val="16"/>
        <w:widowControl w:val="0"/>
        <w:snapToGrid w:val="0"/>
        <w:spacing w:before="156" w:beforeLines="50" w:after="156" w:afterLines="50" w:line="300" w:lineRule="auto"/>
        <w:ind w:firstLine="0" w:firstLineChars="0"/>
        <w:rPr>
          <w:rFonts w:ascii="Times New Roman"/>
          <w:color w:val="000000"/>
          <w:szCs w:val="21"/>
        </w:rPr>
      </w:pPr>
      <w:r>
        <w:rPr>
          <w:rFonts w:hint="eastAsia" w:ascii="Times New Roman"/>
          <w:color w:val="000000"/>
          <w:szCs w:val="21"/>
        </w:rPr>
        <w:t>5.1.4.1 当 24 h 观察点受试物组动物出现皮肤反应积分 ≥ 2 时，判为该动物出现皮肤变态反应阳性；若 24 h 为阴性，继续观察到 48 h，当任一时间点受试物组动物出现皮肤反应积分 ≥ 2 时，判为该动物出现皮肤变态反应阳性，按表 3 判定受试物的致敏强度。</w:t>
      </w:r>
    </w:p>
    <w:p w14:paraId="26177885">
      <w:pPr>
        <w:pStyle w:val="16"/>
        <w:widowControl w:val="0"/>
        <w:snapToGrid w:val="0"/>
        <w:spacing w:before="156" w:beforeLines="50" w:after="156" w:afterLines="50" w:line="300" w:lineRule="auto"/>
        <w:ind w:firstLine="0" w:firstLineChars="0"/>
        <w:rPr>
          <w:color w:val="000000"/>
          <w:szCs w:val="21"/>
        </w:rPr>
      </w:pPr>
      <w:r>
        <w:rPr>
          <w:rFonts w:hint="eastAsia" w:ascii="Times New Roman"/>
          <w:color w:val="000000"/>
          <w:szCs w:val="21"/>
        </w:rPr>
        <w:t>5.1.4.2 如激发接触所得结果仍不能确定，应于第一次激发后一周，给予第二次激发，对照组作同步处理或按 5.2 的方法进行评价。</w:t>
      </w:r>
    </w:p>
    <w:p w14:paraId="26177886">
      <w:pPr>
        <w:pStyle w:val="16"/>
        <w:widowControl w:val="0"/>
        <w:snapToGrid w:val="0"/>
        <w:spacing w:before="156" w:beforeLines="50" w:after="156" w:afterLines="50" w:line="300" w:lineRule="auto"/>
        <w:ind w:firstLine="0" w:firstLineChars="0"/>
        <w:jc w:val="center"/>
        <w:rPr>
          <w:rFonts w:ascii="Times New Roman" w:eastAsia="黑体"/>
          <w:color w:val="000000"/>
          <w:szCs w:val="21"/>
        </w:rPr>
      </w:pPr>
      <w:r>
        <w:rPr>
          <w:rFonts w:hint="eastAsia" w:ascii="Times New Roman" w:eastAsia="黑体"/>
          <w:color w:val="000000"/>
          <w:szCs w:val="21"/>
        </w:rPr>
        <w:t>表1 变态</w:t>
      </w:r>
      <w:r>
        <w:rPr>
          <w:rFonts w:ascii="Times New Roman" w:eastAsia="黑体"/>
          <w:color w:val="000000"/>
          <w:szCs w:val="21"/>
        </w:rPr>
        <w:t>反应</w:t>
      </w:r>
      <w:r>
        <w:rPr>
          <w:rFonts w:hint="eastAsia" w:ascii="Times New Roman" w:eastAsia="黑体"/>
          <w:color w:val="000000"/>
          <w:szCs w:val="21"/>
        </w:rPr>
        <w:t>试验皮肤反应评分</w:t>
      </w:r>
    </w:p>
    <w:tbl>
      <w:tblPr>
        <w:tblStyle w:val="8"/>
        <w:tblW w:w="0" w:type="auto"/>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08"/>
        <w:gridCol w:w="3914"/>
      </w:tblGrid>
      <w:tr w14:paraId="26177889">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08" w:type="dxa"/>
            <w:tcBorders>
              <w:top w:val="single" w:color="auto" w:sz="4" w:space="0"/>
              <w:bottom w:val="single" w:color="auto" w:sz="4" w:space="0"/>
              <w:right w:val="nil"/>
            </w:tcBorders>
          </w:tcPr>
          <w:p w14:paraId="26177887">
            <w:pPr>
              <w:jc w:val="center"/>
              <w:rPr>
                <w:rFonts w:hint="eastAsia" w:ascii="宋体" w:hAnsi="宋体"/>
                <w:szCs w:val="21"/>
              </w:rPr>
            </w:pPr>
            <w:r>
              <w:rPr>
                <w:rFonts w:ascii="宋体" w:hAnsi="宋体"/>
                <w:szCs w:val="21"/>
              </w:rPr>
              <w:t>皮肤反应</w:t>
            </w:r>
          </w:p>
        </w:tc>
        <w:tc>
          <w:tcPr>
            <w:tcW w:w="3914" w:type="dxa"/>
            <w:tcBorders>
              <w:top w:val="single" w:color="auto" w:sz="4" w:space="0"/>
              <w:left w:val="single" w:color="auto" w:sz="4" w:space="0"/>
              <w:bottom w:val="single" w:color="auto" w:sz="4" w:space="0"/>
            </w:tcBorders>
          </w:tcPr>
          <w:p w14:paraId="26177888">
            <w:pPr>
              <w:jc w:val="center"/>
              <w:rPr>
                <w:rFonts w:hint="eastAsia" w:ascii="宋体" w:hAnsi="宋体"/>
                <w:szCs w:val="21"/>
              </w:rPr>
            </w:pPr>
            <w:r>
              <w:rPr>
                <w:rFonts w:ascii="宋体" w:hAnsi="宋体"/>
                <w:szCs w:val="21"/>
              </w:rPr>
              <w:t>积分</w:t>
            </w:r>
          </w:p>
        </w:tc>
      </w:tr>
      <w:tr w14:paraId="2617788C">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08" w:type="dxa"/>
            <w:tcBorders>
              <w:top w:val="single" w:color="auto" w:sz="4" w:space="0"/>
              <w:bottom w:val="nil"/>
              <w:right w:val="single" w:color="auto" w:sz="4" w:space="0"/>
            </w:tcBorders>
          </w:tcPr>
          <w:p w14:paraId="2617788A">
            <w:pPr>
              <w:rPr>
                <w:szCs w:val="21"/>
              </w:rPr>
            </w:pPr>
            <w:r>
              <w:rPr>
                <w:szCs w:val="21"/>
              </w:rPr>
              <w:t xml:space="preserve"> 红斑和焦痂形成</w:t>
            </w:r>
          </w:p>
        </w:tc>
        <w:tc>
          <w:tcPr>
            <w:tcW w:w="3914" w:type="dxa"/>
            <w:tcBorders>
              <w:top w:val="single" w:color="auto" w:sz="4" w:space="0"/>
              <w:left w:val="single" w:color="auto" w:sz="4" w:space="0"/>
              <w:bottom w:val="nil"/>
            </w:tcBorders>
          </w:tcPr>
          <w:p w14:paraId="2617788B">
            <w:pPr>
              <w:jc w:val="center"/>
              <w:rPr>
                <w:szCs w:val="21"/>
              </w:rPr>
            </w:pPr>
          </w:p>
        </w:tc>
      </w:tr>
      <w:tr w14:paraId="2617788F">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08" w:type="dxa"/>
            <w:tcBorders>
              <w:top w:val="nil"/>
              <w:bottom w:val="nil"/>
              <w:right w:val="single" w:color="auto" w:sz="4" w:space="0"/>
            </w:tcBorders>
          </w:tcPr>
          <w:p w14:paraId="2617788D">
            <w:pPr>
              <w:rPr>
                <w:szCs w:val="21"/>
              </w:rPr>
            </w:pPr>
            <w:r>
              <w:rPr>
                <w:szCs w:val="21"/>
              </w:rPr>
              <w:t xml:space="preserve">   无红斑</w:t>
            </w:r>
          </w:p>
        </w:tc>
        <w:tc>
          <w:tcPr>
            <w:tcW w:w="3914" w:type="dxa"/>
            <w:tcBorders>
              <w:top w:val="nil"/>
              <w:left w:val="single" w:color="auto" w:sz="4" w:space="0"/>
              <w:bottom w:val="nil"/>
            </w:tcBorders>
          </w:tcPr>
          <w:p w14:paraId="2617788E">
            <w:pPr>
              <w:jc w:val="center"/>
              <w:rPr>
                <w:szCs w:val="21"/>
              </w:rPr>
            </w:pPr>
            <w:r>
              <w:rPr>
                <w:szCs w:val="21"/>
              </w:rPr>
              <w:t>0</w:t>
            </w:r>
          </w:p>
        </w:tc>
      </w:tr>
      <w:tr w14:paraId="26177892">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08" w:type="dxa"/>
            <w:tcBorders>
              <w:top w:val="nil"/>
              <w:bottom w:val="nil"/>
              <w:right w:val="single" w:color="auto" w:sz="4" w:space="0"/>
            </w:tcBorders>
          </w:tcPr>
          <w:p w14:paraId="26177890">
            <w:pPr>
              <w:rPr>
                <w:szCs w:val="21"/>
              </w:rPr>
            </w:pPr>
            <w:r>
              <w:rPr>
                <w:szCs w:val="21"/>
              </w:rPr>
              <w:t xml:space="preserve">   轻微红斑（勉强可见）</w:t>
            </w:r>
          </w:p>
        </w:tc>
        <w:tc>
          <w:tcPr>
            <w:tcW w:w="3914" w:type="dxa"/>
            <w:tcBorders>
              <w:top w:val="nil"/>
              <w:left w:val="single" w:color="auto" w:sz="4" w:space="0"/>
              <w:bottom w:val="nil"/>
            </w:tcBorders>
          </w:tcPr>
          <w:p w14:paraId="26177891">
            <w:pPr>
              <w:jc w:val="center"/>
              <w:rPr>
                <w:szCs w:val="21"/>
              </w:rPr>
            </w:pPr>
            <w:r>
              <w:rPr>
                <w:szCs w:val="21"/>
              </w:rPr>
              <w:t>1</w:t>
            </w:r>
          </w:p>
        </w:tc>
      </w:tr>
      <w:tr w14:paraId="26177895">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08" w:type="dxa"/>
            <w:tcBorders>
              <w:top w:val="nil"/>
              <w:right w:val="nil"/>
            </w:tcBorders>
          </w:tcPr>
          <w:p w14:paraId="26177893">
            <w:pPr>
              <w:rPr>
                <w:szCs w:val="21"/>
              </w:rPr>
            </w:pPr>
            <w:r>
              <w:rPr>
                <w:szCs w:val="21"/>
              </w:rPr>
              <w:t xml:space="preserve">   明显红斑（散在或小块红斑）</w:t>
            </w:r>
          </w:p>
        </w:tc>
        <w:tc>
          <w:tcPr>
            <w:tcW w:w="3914" w:type="dxa"/>
            <w:tcBorders>
              <w:top w:val="nil"/>
              <w:left w:val="single" w:color="auto" w:sz="4" w:space="0"/>
            </w:tcBorders>
          </w:tcPr>
          <w:p w14:paraId="26177894">
            <w:pPr>
              <w:jc w:val="center"/>
              <w:rPr>
                <w:szCs w:val="21"/>
              </w:rPr>
            </w:pPr>
            <w:r>
              <w:rPr>
                <w:szCs w:val="21"/>
              </w:rPr>
              <w:t>2</w:t>
            </w:r>
          </w:p>
        </w:tc>
      </w:tr>
      <w:tr w14:paraId="26177898">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08" w:type="dxa"/>
            <w:tcBorders>
              <w:bottom w:val="nil"/>
              <w:right w:val="nil"/>
            </w:tcBorders>
          </w:tcPr>
          <w:p w14:paraId="26177896">
            <w:pPr>
              <w:rPr>
                <w:szCs w:val="21"/>
              </w:rPr>
            </w:pPr>
            <w:r>
              <w:rPr>
                <w:szCs w:val="21"/>
              </w:rPr>
              <w:t xml:space="preserve">   中度—重度红斑</w:t>
            </w:r>
          </w:p>
        </w:tc>
        <w:tc>
          <w:tcPr>
            <w:tcW w:w="3914" w:type="dxa"/>
            <w:tcBorders>
              <w:left w:val="single" w:color="auto" w:sz="4" w:space="0"/>
              <w:bottom w:val="nil"/>
            </w:tcBorders>
          </w:tcPr>
          <w:p w14:paraId="26177897">
            <w:pPr>
              <w:jc w:val="center"/>
              <w:rPr>
                <w:szCs w:val="21"/>
              </w:rPr>
            </w:pPr>
            <w:r>
              <w:rPr>
                <w:szCs w:val="21"/>
              </w:rPr>
              <w:t>3</w:t>
            </w:r>
          </w:p>
        </w:tc>
      </w:tr>
      <w:tr w14:paraId="2617789B">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08" w:type="dxa"/>
            <w:tcBorders>
              <w:top w:val="nil"/>
              <w:left w:val="nil"/>
              <w:bottom w:val="nil"/>
              <w:right w:val="single" w:color="auto" w:sz="4" w:space="0"/>
            </w:tcBorders>
          </w:tcPr>
          <w:p w14:paraId="26177899">
            <w:pPr>
              <w:rPr>
                <w:szCs w:val="21"/>
              </w:rPr>
            </w:pPr>
            <w:r>
              <w:rPr>
                <w:szCs w:val="21"/>
              </w:rPr>
              <w:t xml:space="preserve">   严重红斑（紫红色）至轻微焦痂形成</w:t>
            </w:r>
          </w:p>
        </w:tc>
        <w:tc>
          <w:tcPr>
            <w:tcW w:w="3914" w:type="dxa"/>
            <w:tcBorders>
              <w:top w:val="nil"/>
              <w:left w:val="single" w:color="auto" w:sz="4" w:space="0"/>
              <w:bottom w:val="nil"/>
              <w:right w:val="nil"/>
            </w:tcBorders>
          </w:tcPr>
          <w:p w14:paraId="2617789A">
            <w:pPr>
              <w:jc w:val="center"/>
              <w:rPr>
                <w:szCs w:val="21"/>
              </w:rPr>
            </w:pPr>
            <w:r>
              <w:rPr>
                <w:szCs w:val="21"/>
              </w:rPr>
              <w:t>4</w:t>
            </w:r>
          </w:p>
        </w:tc>
      </w:tr>
      <w:tr w14:paraId="2617789F">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08" w:type="dxa"/>
            <w:tcBorders>
              <w:top w:val="nil"/>
              <w:right w:val="nil"/>
            </w:tcBorders>
          </w:tcPr>
          <w:p w14:paraId="2617789C">
            <w:pPr>
              <w:rPr>
                <w:szCs w:val="21"/>
              </w:rPr>
            </w:pPr>
          </w:p>
          <w:p w14:paraId="2617789D">
            <w:pPr>
              <w:rPr>
                <w:szCs w:val="21"/>
              </w:rPr>
            </w:pPr>
            <w:r>
              <w:rPr>
                <w:szCs w:val="21"/>
              </w:rPr>
              <w:t xml:space="preserve"> 水肿形成</w:t>
            </w:r>
          </w:p>
        </w:tc>
        <w:tc>
          <w:tcPr>
            <w:tcW w:w="3914" w:type="dxa"/>
            <w:tcBorders>
              <w:top w:val="nil"/>
              <w:left w:val="single" w:color="auto" w:sz="4" w:space="0"/>
            </w:tcBorders>
          </w:tcPr>
          <w:p w14:paraId="2617789E">
            <w:pPr>
              <w:jc w:val="center"/>
              <w:rPr>
                <w:szCs w:val="21"/>
              </w:rPr>
            </w:pPr>
          </w:p>
        </w:tc>
      </w:tr>
      <w:tr w14:paraId="261778A2">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08" w:type="dxa"/>
            <w:tcBorders>
              <w:right w:val="nil"/>
            </w:tcBorders>
          </w:tcPr>
          <w:p w14:paraId="261778A0">
            <w:pPr>
              <w:rPr>
                <w:szCs w:val="21"/>
              </w:rPr>
            </w:pPr>
            <w:r>
              <w:rPr>
                <w:szCs w:val="21"/>
              </w:rPr>
              <w:t xml:space="preserve">   无水肿</w:t>
            </w:r>
          </w:p>
        </w:tc>
        <w:tc>
          <w:tcPr>
            <w:tcW w:w="3914" w:type="dxa"/>
            <w:tcBorders>
              <w:left w:val="single" w:color="auto" w:sz="4" w:space="0"/>
            </w:tcBorders>
          </w:tcPr>
          <w:p w14:paraId="261778A1">
            <w:pPr>
              <w:jc w:val="center"/>
              <w:rPr>
                <w:szCs w:val="21"/>
              </w:rPr>
            </w:pPr>
            <w:r>
              <w:rPr>
                <w:szCs w:val="21"/>
              </w:rPr>
              <w:t>0</w:t>
            </w:r>
          </w:p>
        </w:tc>
      </w:tr>
      <w:tr w14:paraId="261778A5">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08" w:type="dxa"/>
            <w:tcBorders>
              <w:right w:val="nil"/>
            </w:tcBorders>
          </w:tcPr>
          <w:p w14:paraId="261778A3">
            <w:pPr>
              <w:rPr>
                <w:szCs w:val="21"/>
              </w:rPr>
            </w:pPr>
            <w:r>
              <w:rPr>
                <w:szCs w:val="21"/>
              </w:rPr>
              <w:t xml:space="preserve">   轻微水肿（勉强可见）</w:t>
            </w:r>
          </w:p>
        </w:tc>
        <w:tc>
          <w:tcPr>
            <w:tcW w:w="3914" w:type="dxa"/>
            <w:tcBorders>
              <w:left w:val="single" w:color="auto" w:sz="4" w:space="0"/>
            </w:tcBorders>
          </w:tcPr>
          <w:p w14:paraId="261778A4">
            <w:pPr>
              <w:jc w:val="center"/>
              <w:rPr>
                <w:szCs w:val="21"/>
              </w:rPr>
            </w:pPr>
            <w:r>
              <w:rPr>
                <w:szCs w:val="21"/>
              </w:rPr>
              <w:t>1</w:t>
            </w:r>
          </w:p>
        </w:tc>
      </w:tr>
      <w:tr w14:paraId="261778A8">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08" w:type="dxa"/>
            <w:tcBorders>
              <w:right w:val="nil"/>
            </w:tcBorders>
          </w:tcPr>
          <w:p w14:paraId="261778A6">
            <w:pPr>
              <w:rPr>
                <w:szCs w:val="21"/>
              </w:rPr>
            </w:pPr>
            <w:r>
              <w:rPr>
                <w:szCs w:val="21"/>
              </w:rPr>
              <w:t xml:space="preserve">   中度水肿（皮肤隆起轮廓清楚）</w:t>
            </w:r>
          </w:p>
        </w:tc>
        <w:tc>
          <w:tcPr>
            <w:tcW w:w="3914" w:type="dxa"/>
            <w:tcBorders>
              <w:left w:val="single" w:color="auto" w:sz="4" w:space="0"/>
            </w:tcBorders>
          </w:tcPr>
          <w:p w14:paraId="261778A7">
            <w:pPr>
              <w:jc w:val="center"/>
              <w:rPr>
                <w:szCs w:val="21"/>
              </w:rPr>
            </w:pPr>
            <w:r>
              <w:rPr>
                <w:szCs w:val="21"/>
              </w:rPr>
              <w:t>2</w:t>
            </w:r>
          </w:p>
        </w:tc>
      </w:tr>
      <w:tr w14:paraId="261778AB">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08" w:type="dxa"/>
            <w:tcBorders>
              <w:right w:val="nil"/>
            </w:tcBorders>
          </w:tcPr>
          <w:p w14:paraId="261778A9">
            <w:pPr>
              <w:rPr>
                <w:szCs w:val="21"/>
              </w:rPr>
            </w:pPr>
            <w:r>
              <w:rPr>
                <w:szCs w:val="21"/>
              </w:rPr>
              <w:t xml:space="preserve">   重度水肿（皮肤隆起约1mm或超过1mm）</w:t>
            </w:r>
          </w:p>
        </w:tc>
        <w:tc>
          <w:tcPr>
            <w:tcW w:w="3914" w:type="dxa"/>
            <w:tcBorders>
              <w:left w:val="single" w:color="auto" w:sz="4" w:space="0"/>
            </w:tcBorders>
          </w:tcPr>
          <w:p w14:paraId="261778AA">
            <w:pPr>
              <w:jc w:val="center"/>
              <w:rPr>
                <w:szCs w:val="21"/>
              </w:rPr>
            </w:pPr>
            <w:r>
              <w:rPr>
                <w:szCs w:val="21"/>
              </w:rPr>
              <w:t>3</w:t>
            </w:r>
          </w:p>
        </w:tc>
      </w:tr>
      <w:tr w14:paraId="261778AE">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08" w:type="dxa"/>
            <w:tcBorders>
              <w:bottom w:val="single" w:color="auto" w:sz="4" w:space="0"/>
              <w:right w:val="nil"/>
            </w:tcBorders>
          </w:tcPr>
          <w:p w14:paraId="261778AC">
            <w:pPr>
              <w:rPr>
                <w:szCs w:val="21"/>
              </w:rPr>
            </w:pPr>
            <w:r>
              <w:rPr>
                <w:szCs w:val="21"/>
              </w:rPr>
              <w:t xml:space="preserve">   </w:t>
            </w:r>
          </w:p>
        </w:tc>
        <w:tc>
          <w:tcPr>
            <w:tcW w:w="3914" w:type="dxa"/>
            <w:tcBorders>
              <w:left w:val="single" w:color="auto" w:sz="4" w:space="0"/>
              <w:bottom w:val="single" w:color="auto" w:sz="4" w:space="0"/>
            </w:tcBorders>
          </w:tcPr>
          <w:p w14:paraId="261778AD">
            <w:pPr>
              <w:jc w:val="center"/>
              <w:rPr>
                <w:szCs w:val="21"/>
              </w:rPr>
            </w:pPr>
          </w:p>
        </w:tc>
      </w:tr>
      <w:tr w14:paraId="261778B1">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08" w:type="dxa"/>
            <w:tcBorders>
              <w:top w:val="single" w:color="auto" w:sz="4" w:space="0"/>
              <w:bottom w:val="single" w:color="auto" w:sz="4" w:space="0"/>
              <w:right w:val="nil"/>
            </w:tcBorders>
          </w:tcPr>
          <w:p w14:paraId="261778AF">
            <w:pPr>
              <w:jc w:val="center"/>
              <w:rPr>
                <w:szCs w:val="21"/>
              </w:rPr>
            </w:pPr>
            <w:r>
              <w:rPr>
                <w:szCs w:val="21"/>
              </w:rPr>
              <w:t>最高积分</w:t>
            </w:r>
          </w:p>
        </w:tc>
        <w:tc>
          <w:tcPr>
            <w:tcW w:w="3914" w:type="dxa"/>
            <w:tcBorders>
              <w:top w:val="single" w:color="auto" w:sz="4" w:space="0"/>
              <w:left w:val="single" w:color="auto" w:sz="4" w:space="0"/>
              <w:bottom w:val="single" w:color="auto" w:sz="4" w:space="0"/>
            </w:tcBorders>
          </w:tcPr>
          <w:p w14:paraId="261778B0">
            <w:pPr>
              <w:jc w:val="center"/>
              <w:rPr>
                <w:szCs w:val="21"/>
              </w:rPr>
            </w:pPr>
            <w:r>
              <w:rPr>
                <w:szCs w:val="21"/>
              </w:rPr>
              <w:t>7</w:t>
            </w:r>
          </w:p>
        </w:tc>
      </w:tr>
    </w:tbl>
    <w:p w14:paraId="261778B2">
      <w:pPr>
        <w:pStyle w:val="16"/>
        <w:widowControl w:val="0"/>
        <w:snapToGrid w:val="0"/>
        <w:spacing w:before="156" w:beforeLines="50" w:after="156" w:afterLines="50" w:line="300" w:lineRule="auto"/>
        <w:ind w:firstLine="0" w:firstLineChars="0"/>
        <w:jc w:val="center"/>
        <w:rPr>
          <w:rFonts w:ascii="Times New Roman" w:eastAsia="黑体"/>
          <w:color w:val="000000"/>
          <w:szCs w:val="21"/>
        </w:rPr>
      </w:pPr>
    </w:p>
    <w:p w14:paraId="261778B3">
      <w:pPr>
        <w:pStyle w:val="16"/>
        <w:widowControl w:val="0"/>
        <w:snapToGrid w:val="0"/>
        <w:spacing w:before="156" w:beforeLines="50" w:after="156" w:afterLines="50" w:line="300" w:lineRule="auto"/>
        <w:ind w:firstLine="0" w:firstLineChars="0"/>
        <w:rPr>
          <w:rFonts w:ascii="Times New Roman"/>
          <w:szCs w:val="21"/>
        </w:rPr>
      </w:pPr>
      <w:r>
        <w:rPr>
          <w:rFonts w:hint="eastAsia" w:ascii="Times New Roman"/>
          <w:szCs w:val="21"/>
        </w:rPr>
        <w:t>5.2</w:t>
      </w:r>
      <w:r>
        <w:rPr>
          <w:rFonts w:hint="eastAsia" w:ascii="Times New Roman"/>
          <w:color w:val="000000"/>
          <w:szCs w:val="21"/>
        </w:rPr>
        <w:t xml:space="preserve">  </w:t>
      </w:r>
      <w:r>
        <w:rPr>
          <w:rFonts w:hint="eastAsia" w:ascii="Times New Roman"/>
          <w:szCs w:val="21"/>
        </w:rPr>
        <w:t>豚鼠最大值试验（Guinea Pig Maximisation Test, GPMT）</w:t>
      </w:r>
    </w:p>
    <w:p w14:paraId="261778B4">
      <w:pPr>
        <w:pStyle w:val="16"/>
        <w:widowControl w:val="0"/>
        <w:snapToGrid w:val="0"/>
        <w:spacing w:line="300" w:lineRule="auto"/>
        <w:ind w:firstLine="420"/>
        <w:rPr>
          <w:rFonts w:ascii="Times New Roman"/>
          <w:color w:val="000000"/>
          <w:szCs w:val="21"/>
        </w:rPr>
      </w:pPr>
      <w:r>
        <w:rPr>
          <w:rFonts w:hint="eastAsia" w:ascii="Times New Roman"/>
          <w:color w:val="000000"/>
          <w:szCs w:val="21"/>
        </w:rPr>
        <w:t>采用弗氏完全佐剂（</w:t>
      </w:r>
      <w:r>
        <w:rPr>
          <w:rFonts w:ascii="Times New Roman"/>
          <w:color w:val="000000"/>
          <w:szCs w:val="21"/>
        </w:rPr>
        <w:t>Freund’s Complete Adjuvant</w:t>
      </w:r>
      <w:r>
        <w:rPr>
          <w:rFonts w:hint="eastAsia" w:ascii="Times New Roman"/>
          <w:szCs w:val="21"/>
        </w:rPr>
        <w:t xml:space="preserve">, </w:t>
      </w:r>
      <w:r>
        <w:rPr>
          <w:rFonts w:hint="eastAsia" w:ascii="Times New Roman"/>
          <w:color w:val="000000"/>
          <w:szCs w:val="21"/>
        </w:rPr>
        <w:t>FCA）皮内注射方法检测致敏的可能性。</w:t>
      </w:r>
    </w:p>
    <w:p w14:paraId="261778B5">
      <w:pPr>
        <w:pStyle w:val="16"/>
        <w:widowControl w:val="0"/>
        <w:snapToGrid w:val="0"/>
        <w:spacing w:before="156" w:beforeLines="50" w:after="156" w:afterLines="50" w:line="300" w:lineRule="auto"/>
        <w:ind w:firstLine="0" w:firstLineChars="0"/>
        <w:rPr>
          <w:rFonts w:ascii="Times New Roman"/>
          <w:szCs w:val="21"/>
        </w:rPr>
      </w:pPr>
      <w:r>
        <w:rPr>
          <w:rFonts w:hint="eastAsia" w:ascii="Times New Roman"/>
          <w:szCs w:val="21"/>
        </w:rPr>
        <w:t>5.2.1</w:t>
      </w:r>
      <w:r>
        <w:rPr>
          <w:rFonts w:hint="eastAsia" w:ascii="Times New Roman"/>
          <w:color w:val="000000"/>
          <w:szCs w:val="21"/>
        </w:rPr>
        <w:t xml:space="preserve"> </w:t>
      </w:r>
      <w:r>
        <w:rPr>
          <w:rFonts w:hint="eastAsia" w:ascii="Times New Roman"/>
          <w:szCs w:val="21"/>
        </w:rPr>
        <w:t>动物数</w:t>
      </w:r>
    </w:p>
    <w:p w14:paraId="261778B6">
      <w:pPr>
        <w:pStyle w:val="16"/>
        <w:widowControl w:val="0"/>
        <w:snapToGrid w:val="0"/>
        <w:spacing w:line="300" w:lineRule="auto"/>
        <w:ind w:firstLine="420"/>
        <w:rPr>
          <w:rFonts w:ascii="Times New Roman"/>
          <w:color w:val="000000"/>
          <w:szCs w:val="21"/>
        </w:rPr>
      </w:pPr>
      <w:r>
        <w:rPr>
          <w:rFonts w:hint="eastAsia" w:ascii="Times New Roman"/>
          <w:color w:val="000000"/>
          <w:szCs w:val="21"/>
        </w:rPr>
        <w:t>试验组至少用 10 只，对照组至少 5 只。如果试验结果难以确定受试物的致敏性，应增加动物数，试验组 20 只，对照组 10 只。</w:t>
      </w:r>
    </w:p>
    <w:p w14:paraId="261778B7">
      <w:pPr>
        <w:pStyle w:val="16"/>
        <w:widowControl w:val="0"/>
        <w:snapToGrid w:val="0"/>
        <w:spacing w:before="156" w:beforeLines="50" w:after="156" w:afterLines="50" w:line="300" w:lineRule="auto"/>
        <w:ind w:firstLine="0" w:firstLineChars="0"/>
        <w:rPr>
          <w:rFonts w:ascii="Times New Roman"/>
          <w:szCs w:val="21"/>
        </w:rPr>
      </w:pPr>
      <w:r>
        <w:rPr>
          <w:rFonts w:hint="eastAsia" w:ascii="Times New Roman"/>
          <w:szCs w:val="21"/>
        </w:rPr>
        <w:t>5.2.2</w:t>
      </w:r>
      <w:r>
        <w:rPr>
          <w:rFonts w:hint="eastAsia" w:ascii="Times New Roman"/>
          <w:color w:val="000000"/>
          <w:szCs w:val="21"/>
        </w:rPr>
        <w:t xml:space="preserve"> </w:t>
      </w:r>
      <w:r>
        <w:rPr>
          <w:rFonts w:hint="eastAsia" w:ascii="Times New Roman"/>
          <w:szCs w:val="21"/>
        </w:rPr>
        <w:t>剂量水平</w:t>
      </w:r>
    </w:p>
    <w:p w14:paraId="261778B8">
      <w:pPr>
        <w:pStyle w:val="16"/>
        <w:widowControl w:val="0"/>
        <w:snapToGrid w:val="0"/>
        <w:spacing w:line="300" w:lineRule="auto"/>
        <w:ind w:firstLine="420"/>
        <w:rPr>
          <w:rFonts w:ascii="Times New Roman"/>
          <w:color w:val="000000"/>
          <w:szCs w:val="21"/>
        </w:rPr>
      </w:pPr>
      <w:r>
        <w:rPr>
          <w:rFonts w:hint="eastAsia" w:ascii="Times New Roman"/>
          <w:color w:val="000000"/>
          <w:szCs w:val="21"/>
        </w:rPr>
        <w:t xml:space="preserve">诱导接触受试物浓度为能引起皮肤轻度刺激反应的最高浓度，激发接触受试物浓度为不能引起皮肤刺激反应的最高浓度。试验浓度水平可以通过少量动物（2 </w:t>
      </w:r>
      <w:r>
        <w:rPr>
          <w:rFonts w:hint="eastAsia" w:ascii="仿宋_GB2312" w:eastAsia="仿宋_GB2312"/>
          <w:color w:val="000000"/>
          <w:szCs w:val="21"/>
        </w:rPr>
        <w:t xml:space="preserve">～ </w:t>
      </w:r>
      <w:r>
        <w:rPr>
          <w:rFonts w:hint="eastAsia" w:ascii="Times New Roman"/>
          <w:color w:val="000000"/>
          <w:szCs w:val="21"/>
        </w:rPr>
        <w:t>3 只）的预试验获得。</w:t>
      </w:r>
    </w:p>
    <w:p w14:paraId="261778B9">
      <w:pPr>
        <w:pStyle w:val="16"/>
        <w:widowControl w:val="0"/>
        <w:snapToGrid w:val="0"/>
        <w:spacing w:before="156" w:beforeLines="50" w:after="156" w:afterLines="50" w:line="300" w:lineRule="auto"/>
        <w:ind w:firstLine="0" w:firstLineChars="0"/>
        <w:rPr>
          <w:rFonts w:ascii="Times New Roman"/>
          <w:szCs w:val="21"/>
        </w:rPr>
      </w:pPr>
      <w:r>
        <w:rPr>
          <w:rFonts w:hint="eastAsia" w:ascii="Times New Roman"/>
          <w:szCs w:val="21"/>
        </w:rPr>
        <w:t>5.2.3 试验步骤</w:t>
      </w:r>
    </w:p>
    <w:p w14:paraId="261778BA">
      <w:pPr>
        <w:pStyle w:val="16"/>
        <w:widowControl w:val="0"/>
        <w:snapToGrid w:val="0"/>
        <w:spacing w:before="156" w:beforeLines="50" w:after="156" w:afterLines="50" w:line="300" w:lineRule="auto"/>
        <w:ind w:firstLine="0" w:firstLineChars="0"/>
        <w:rPr>
          <w:rFonts w:ascii="Times New Roman"/>
          <w:szCs w:val="21"/>
        </w:rPr>
      </w:pPr>
      <w:r>
        <w:rPr>
          <w:rFonts w:hint="eastAsia" w:ascii="Times New Roman"/>
          <w:szCs w:val="21"/>
        </w:rPr>
        <w:t>5.2.3.1 诱导接触（第 0 d）</w:t>
      </w:r>
    </w:p>
    <w:p w14:paraId="261778BB">
      <w:pPr>
        <w:pStyle w:val="16"/>
        <w:widowControl w:val="0"/>
        <w:snapToGrid w:val="0"/>
        <w:spacing w:line="300" w:lineRule="auto"/>
        <w:ind w:firstLine="420" w:firstLineChars="0"/>
        <w:rPr>
          <w:rFonts w:ascii="Times New Roman"/>
          <w:color w:val="000000"/>
          <w:szCs w:val="21"/>
        </w:rPr>
      </w:pPr>
      <w:r>
        <w:rPr>
          <w:rFonts w:hint="eastAsia" w:ascii="Times New Roman"/>
          <w:color w:val="000000"/>
          <w:szCs w:val="21"/>
        </w:rPr>
        <w:t>受试物组：将颈背部去毛区（2 cm × 4 cm）中线两侧划定三个对称点，每点皮内注射0.1 mL 下述溶液。</w:t>
      </w:r>
    </w:p>
    <w:p w14:paraId="261778BC">
      <w:pPr>
        <w:pStyle w:val="16"/>
        <w:widowControl w:val="0"/>
        <w:snapToGrid w:val="0"/>
        <w:spacing w:line="300" w:lineRule="auto"/>
        <w:ind w:firstLine="420"/>
        <w:rPr>
          <w:rFonts w:ascii="Times New Roman"/>
          <w:color w:val="000000"/>
          <w:szCs w:val="21"/>
        </w:rPr>
      </w:pPr>
      <w:r>
        <w:rPr>
          <w:rFonts w:hint="eastAsia" w:ascii="Times New Roman"/>
          <w:color w:val="000000"/>
          <w:szCs w:val="21"/>
        </w:rPr>
        <w:t>第1点</w:t>
      </w:r>
      <w:r>
        <w:rPr>
          <w:rFonts w:hint="eastAsia" w:ascii="Times New Roman"/>
          <w:color w:val="000000"/>
          <w:szCs w:val="21"/>
        </w:rPr>
        <w:tab/>
      </w:r>
      <w:r>
        <w:rPr>
          <w:rFonts w:hint="eastAsia" w:ascii="Times New Roman"/>
          <w:color w:val="000000"/>
          <w:szCs w:val="21"/>
        </w:rPr>
        <w:t>1：1（V/V）FCA/水或生理盐水的混合物</w:t>
      </w:r>
    </w:p>
    <w:p w14:paraId="261778BD">
      <w:pPr>
        <w:pStyle w:val="16"/>
        <w:widowControl w:val="0"/>
        <w:snapToGrid w:val="0"/>
        <w:spacing w:line="300" w:lineRule="auto"/>
        <w:ind w:firstLine="420"/>
        <w:rPr>
          <w:rFonts w:ascii="Times New Roman"/>
          <w:color w:val="000000"/>
          <w:szCs w:val="21"/>
        </w:rPr>
      </w:pPr>
      <w:r>
        <w:rPr>
          <w:rFonts w:hint="eastAsia" w:ascii="Times New Roman"/>
          <w:color w:val="000000"/>
          <w:szCs w:val="21"/>
        </w:rPr>
        <w:t>第2点</w:t>
      </w:r>
      <w:r>
        <w:rPr>
          <w:rFonts w:hint="eastAsia" w:ascii="Times New Roman"/>
          <w:color w:val="000000"/>
          <w:szCs w:val="21"/>
        </w:rPr>
        <w:tab/>
      </w:r>
      <w:r>
        <w:rPr>
          <w:rFonts w:hint="eastAsia" w:ascii="Times New Roman"/>
          <w:color w:val="000000"/>
          <w:szCs w:val="21"/>
        </w:rPr>
        <w:t>耐受浓度的受试物</w:t>
      </w:r>
    </w:p>
    <w:p w14:paraId="261778BE">
      <w:pPr>
        <w:pStyle w:val="16"/>
        <w:widowControl w:val="0"/>
        <w:snapToGrid w:val="0"/>
        <w:spacing w:line="300" w:lineRule="auto"/>
        <w:ind w:firstLine="420"/>
        <w:rPr>
          <w:rFonts w:ascii="Times New Roman"/>
          <w:color w:val="000000"/>
          <w:szCs w:val="21"/>
        </w:rPr>
      </w:pPr>
      <w:r>
        <w:rPr>
          <w:rFonts w:hint="eastAsia" w:ascii="Times New Roman"/>
          <w:color w:val="000000"/>
          <w:szCs w:val="21"/>
        </w:rPr>
        <w:t>第3点</w:t>
      </w:r>
      <w:r>
        <w:rPr>
          <w:rFonts w:hint="eastAsia" w:ascii="Times New Roman"/>
          <w:color w:val="000000"/>
          <w:szCs w:val="21"/>
        </w:rPr>
        <w:tab/>
      </w:r>
      <w:r>
        <w:rPr>
          <w:rFonts w:hint="eastAsia" w:ascii="Times New Roman"/>
          <w:color w:val="000000"/>
          <w:szCs w:val="21"/>
        </w:rPr>
        <w:t>用1：1（V/V）FCA/水或生理盐水配制的受试物，浓度与第2点相同</w:t>
      </w:r>
    </w:p>
    <w:p w14:paraId="261778BF">
      <w:pPr>
        <w:pStyle w:val="16"/>
        <w:widowControl w:val="0"/>
        <w:snapToGrid w:val="0"/>
        <w:spacing w:line="300" w:lineRule="auto"/>
        <w:ind w:firstLine="420"/>
        <w:rPr>
          <w:rFonts w:ascii="Times New Roman"/>
          <w:color w:val="000000"/>
          <w:szCs w:val="21"/>
        </w:rPr>
      </w:pPr>
      <w:r>
        <w:rPr>
          <w:rFonts w:hint="eastAsia" w:ascii="Times New Roman"/>
          <w:color w:val="000000"/>
          <w:szCs w:val="21"/>
        </w:rPr>
        <w:t>对照组：注射部位同受试物组</w:t>
      </w:r>
    </w:p>
    <w:p w14:paraId="261778C0">
      <w:pPr>
        <w:pStyle w:val="16"/>
        <w:widowControl w:val="0"/>
        <w:snapToGrid w:val="0"/>
        <w:spacing w:line="300" w:lineRule="auto"/>
        <w:ind w:firstLine="420"/>
        <w:rPr>
          <w:rFonts w:ascii="Times New Roman"/>
          <w:color w:val="000000"/>
          <w:szCs w:val="21"/>
        </w:rPr>
      </w:pPr>
      <w:r>
        <w:rPr>
          <w:rFonts w:hint="eastAsia" w:ascii="Times New Roman"/>
          <w:color w:val="000000"/>
          <w:szCs w:val="21"/>
        </w:rPr>
        <w:t>第1点</w:t>
      </w:r>
      <w:r>
        <w:rPr>
          <w:rFonts w:hint="eastAsia" w:ascii="Times New Roman"/>
          <w:color w:val="000000"/>
          <w:szCs w:val="21"/>
        </w:rPr>
        <w:tab/>
      </w:r>
      <w:r>
        <w:rPr>
          <w:rFonts w:hint="eastAsia" w:ascii="Times New Roman"/>
          <w:color w:val="000000"/>
          <w:szCs w:val="21"/>
        </w:rPr>
        <w:t>1：1（V/V）FCA/水或生理盐水的混合物</w:t>
      </w:r>
    </w:p>
    <w:p w14:paraId="261778C1">
      <w:pPr>
        <w:pStyle w:val="16"/>
        <w:widowControl w:val="0"/>
        <w:snapToGrid w:val="0"/>
        <w:spacing w:line="300" w:lineRule="auto"/>
        <w:ind w:firstLine="420"/>
        <w:rPr>
          <w:rFonts w:ascii="Times New Roman"/>
          <w:color w:val="000000"/>
          <w:szCs w:val="21"/>
        </w:rPr>
      </w:pPr>
      <w:r>
        <w:rPr>
          <w:rFonts w:hint="eastAsia" w:ascii="Times New Roman"/>
          <w:color w:val="000000"/>
          <w:szCs w:val="21"/>
        </w:rPr>
        <w:t>第2点</w:t>
      </w:r>
      <w:r>
        <w:rPr>
          <w:rFonts w:hint="eastAsia" w:ascii="Times New Roman"/>
          <w:color w:val="000000"/>
          <w:szCs w:val="21"/>
        </w:rPr>
        <w:tab/>
      </w:r>
      <w:r>
        <w:rPr>
          <w:rFonts w:hint="eastAsia" w:ascii="Times New Roman"/>
          <w:color w:val="000000"/>
          <w:szCs w:val="21"/>
        </w:rPr>
        <w:t>未稀释的溶剂</w:t>
      </w:r>
    </w:p>
    <w:p w14:paraId="261778C2">
      <w:pPr>
        <w:pStyle w:val="16"/>
        <w:widowControl w:val="0"/>
        <w:snapToGrid w:val="0"/>
        <w:spacing w:line="300" w:lineRule="auto"/>
        <w:ind w:firstLine="420"/>
        <w:rPr>
          <w:rFonts w:ascii="Times New Roman"/>
          <w:color w:val="000000"/>
          <w:szCs w:val="21"/>
        </w:rPr>
      </w:pPr>
      <w:r>
        <w:rPr>
          <w:rFonts w:hint="eastAsia" w:ascii="Times New Roman"/>
          <w:color w:val="000000"/>
          <w:szCs w:val="21"/>
        </w:rPr>
        <w:t>第3点</w:t>
      </w:r>
      <w:r>
        <w:rPr>
          <w:rFonts w:hint="eastAsia" w:ascii="Times New Roman"/>
          <w:color w:val="000000"/>
          <w:szCs w:val="21"/>
        </w:rPr>
        <w:tab/>
      </w:r>
      <w:r>
        <w:rPr>
          <w:rFonts w:hint="eastAsia" w:ascii="Times New Roman"/>
          <w:color w:val="000000"/>
          <w:szCs w:val="21"/>
        </w:rPr>
        <w:t>用1：1（V/V）FCA/水或生理盐水配制的浓度为 50%（W/V）的溶剂</w:t>
      </w:r>
    </w:p>
    <w:p w14:paraId="261778C3">
      <w:pPr>
        <w:pStyle w:val="16"/>
        <w:widowControl w:val="0"/>
        <w:snapToGrid w:val="0"/>
        <w:spacing w:before="156" w:beforeLines="50" w:after="156" w:afterLines="50" w:line="300" w:lineRule="auto"/>
        <w:ind w:firstLine="0" w:firstLineChars="0"/>
        <w:rPr>
          <w:rFonts w:ascii="Times New Roman"/>
          <w:szCs w:val="21"/>
        </w:rPr>
      </w:pPr>
      <w:r>
        <w:rPr>
          <w:rFonts w:hint="eastAsia" w:ascii="Times New Roman"/>
          <w:szCs w:val="21"/>
        </w:rPr>
        <w:t>5.2.3.2 诱导接触（第 7 d）</w:t>
      </w:r>
    </w:p>
    <w:p w14:paraId="261778C4">
      <w:pPr>
        <w:pStyle w:val="16"/>
        <w:widowControl w:val="0"/>
        <w:snapToGrid w:val="0"/>
        <w:spacing w:line="300" w:lineRule="auto"/>
        <w:ind w:firstLine="420"/>
        <w:rPr>
          <w:rFonts w:ascii="Times New Roman"/>
          <w:szCs w:val="21"/>
        </w:rPr>
      </w:pPr>
      <w:r>
        <w:rPr>
          <w:rFonts w:hint="eastAsia" w:ascii="Times New Roman"/>
          <w:szCs w:val="21"/>
        </w:rPr>
        <w:t>将涂有 0.5 g</w:t>
      </w:r>
      <w:r>
        <w:rPr>
          <w:rFonts w:hint="eastAsia" w:ascii="Times New Roman"/>
          <w:color w:val="000000"/>
          <w:szCs w:val="21"/>
        </w:rPr>
        <w:t>（</w:t>
      </w:r>
      <w:r>
        <w:rPr>
          <w:rFonts w:hint="eastAsia" w:ascii="Times New Roman"/>
          <w:szCs w:val="21"/>
        </w:rPr>
        <w:t>mL</w:t>
      </w:r>
      <w:r>
        <w:rPr>
          <w:rFonts w:hint="eastAsia" w:ascii="Times New Roman"/>
          <w:color w:val="000000"/>
          <w:szCs w:val="21"/>
        </w:rPr>
        <w:t>）</w:t>
      </w:r>
      <w:r>
        <w:rPr>
          <w:rFonts w:hint="eastAsia" w:ascii="Times New Roman"/>
          <w:szCs w:val="21"/>
        </w:rPr>
        <w:t>受试物的 2 cm × 4 cm 滤纸敷贴在上述再次去毛的注射部位，然后用两层纱布，一层玻璃纸覆盖，无刺激胶布封闭固定 48 h。对无皮肤刺激作用的受试物，可加强致敏，于第二次诱导接触前 24 h 在注射部位涂抹 10% 十二烷基硫酸钠（SLS）0.5 mL。对照组仅用溶剂作诱导处理。</w:t>
      </w:r>
    </w:p>
    <w:p w14:paraId="261778C5">
      <w:pPr>
        <w:pStyle w:val="16"/>
        <w:widowControl w:val="0"/>
        <w:snapToGrid w:val="0"/>
        <w:spacing w:before="156" w:beforeLines="50" w:after="156" w:afterLines="50" w:line="300" w:lineRule="auto"/>
        <w:ind w:firstLine="0" w:firstLineChars="0"/>
        <w:rPr>
          <w:rFonts w:ascii="Times New Roman"/>
          <w:szCs w:val="21"/>
        </w:rPr>
      </w:pPr>
      <w:r>
        <w:rPr>
          <w:rFonts w:hint="eastAsia" w:ascii="Times New Roman"/>
          <w:szCs w:val="21"/>
        </w:rPr>
        <w:t>5.2.3.3 激发接触（第 21 d）</w:t>
      </w:r>
    </w:p>
    <w:p w14:paraId="261778C6">
      <w:pPr>
        <w:pStyle w:val="16"/>
        <w:widowControl w:val="0"/>
        <w:snapToGrid w:val="0"/>
        <w:spacing w:line="300" w:lineRule="auto"/>
        <w:ind w:firstLine="420"/>
        <w:rPr>
          <w:rFonts w:ascii="Times New Roman"/>
          <w:color w:val="000000"/>
          <w:szCs w:val="21"/>
        </w:rPr>
      </w:pPr>
      <w:r>
        <w:rPr>
          <w:rFonts w:hint="eastAsia" w:ascii="Times New Roman"/>
          <w:color w:val="000000"/>
          <w:szCs w:val="21"/>
        </w:rPr>
        <w:t>将豚鼠躯干部去毛，用涂有 0.5 g（</w:t>
      </w:r>
      <w:r>
        <w:rPr>
          <w:rFonts w:hint="eastAsia" w:ascii="Times New Roman"/>
          <w:szCs w:val="21"/>
        </w:rPr>
        <w:t>mL</w:t>
      </w:r>
      <w:r>
        <w:rPr>
          <w:rFonts w:hint="eastAsia" w:ascii="Times New Roman"/>
          <w:color w:val="000000"/>
          <w:szCs w:val="21"/>
        </w:rPr>
        <w:t>）受试物的 2 cm × 2 cm 滤纸片敷贴在去毛区，然后再用两层纱布，一层玻璃纸覆盖，无刺激胶布封闭固定 24 h。对照组动物作同样处理。如激发接触所得结果不能确定，可在第一次激发接触一周后进行第二次激发接触。对照组作同步处理。</w:t>
      </w:r>
    </w:p>
    <w:p w14:paraId="261778C7">
      <w:pPr>
        <w:pStyle w:val="16"/>
        <w:widowControl w:val="0"/>
        <w:snapToGrid w:val="0"/>
        <w:spacing w:before="156" w:beforeLines="50" w:after="156" w:afterLines="50" w:line="300" w:lineRule="auto"/>
        <w:ind w:firstLine="0" w:firstLineChars="0"/>
        <w:rPr>
          <w:rFonts w:ascii="Times New Roman"/>
          <w:szCs w:val="21"/>
        </w:rPr>
      </w:pPr>
      <w:r>
        <w:rPr>
          <w:rFonts w:hint="eastAsia" w:ascii="Times New Roman"/>
          <w:szCs w:val="21"/>
        </w:rPr>
        <w:t>5.2.4 观察及结果评价</w:t>
      </w:r>
    </w:p>
    <w:p w14:paraId="261778C8">
      <w:pPr>
        <w:pStyle w:val="16"/>
        <w:widowControl w:val="0"/>
        <w:snapToGrid w:val="0"/>
        <w:spacing w:line="300" w:lineRule="auto"/>
        <w:ind w:firstLine="420"/>
        <w:rPr>
          <w:rFonts w:ascii="Times New Roman"/>
          <w:color w:val="000000"/>
          <w:szCs w:val="21"/>
        </w:rPr>
      </w:pPr>
      <w:r>
        <w:rPr>
          <w:rFonts w:hint="eastAsia" w:ascii="Times New Roman"/>
          <w:color w:val="000000"/>
          <w:szCs w:val="21"/>
        </w:rPr>
        <w:t>激发接触结束，除去涂有受试物的滤纸后 24 h、48 h和 72 h，观察皮肤反应，（如需要清除受试残留物可用水或选用不改变皮肤已有反应和不损伤皮肤的溶剂）按表 2 评分。当 24 h 观察点受试物组动物皮肤反应积分 ≥1 时，应判为变态反应阳性；若为阴性继续观察到 48 h，任一时间点受试物组动物皮肤反应积分 ≥1 时，应判为变态反应阳性，按表 3 对受试物进行致敏强度分级。</w:t>
      </w:r>
    </w:p>
    <w:p w14:paraId="261778C9">
      <w:pPr>
        <w:pStyle w:val="16"/>
        <w:widowControl w:val="0"/>
        <w:snapToGrid w:val="0"/>
        <w:spacing w:before="156" w:beforeLines="50" w:after="156" w:afterLines="50" w:line="300" w:lineRule="auto"/>
        <w:ind w:firstLine="0" w:firstLineChars="0"/>
        <w:jc w:val="center"/>
        <w:rPr>
          <w:rFonts w:ascii="Times New Roman" w:eastAsia="黑体"/>
          <w:color w:val="000000"/>
          <w:szCs w:val="21"/>
        </w:rPr>
      </w:pPr>
      <w:r>
        <w:rPr>
          <w:rFonts w:hint="eastAsia" w:ascii="Times New Roman" w:eastAsia="黑体"/>
          <w:color w:val="000000"/>
          <w:szCs w:val="21"/>
        </w:rPr>
        <w:t>表2 变态</w:t>
      </w:r>
      <w:r>
        <w:rPr>
          <w:rFonts w:ascii="Times New Roman" w:eastAsia="黑体"/>
          <w:color w:val="000000"/>
          <w:szCs w:val="21"/>
        </w:rPr>
        <w:t>反应</w:t>
      </w:r>
      <w:r>
        <w:rPr>
          <w:rFonts w:hint="eastAsia" w:ascii="Times New Roman" w:eastAsia="黑体"/>
          <w:color w:val="000000"/>
          <w:szCs w:val="21"/>
        </w:rPr>
        <w:t>试验皮肤反应评分</w:t>
      </w:r>
    </w:p>
    <w:tbl>
      <w:tblPr>
        <w:tblStyle w:val="23"/>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4788"/>
        <w:gridCol w:w="3591"/>
      </w:tblGrid>
      <w:tr w14:paraId="261778C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97" w:hRule="atLeast"/>
          <w:jc w:val="center"/>
        </w:trPr>
        <w:tc>
          <w:tcPr>
            <w:tcW w:w="4788" w:type="dxa"/>
            <w:vAlign w:val="center"/>
          </w:tcPr>
          <w:p w14:paraId="261778CA">
            <w:pPr>
              <w:autoSpaceDE w:val="0"/>
              <w:autoSpaceDN w:val="0"/>
              <w:jc w:val="center"/>
              <w:rPr>
                <w:color w:val="000000"/>
                <w:szCs w:val="21"/>
              </w:rPr>
            </w:pPr>
            <w:r>
              <w:rPr>
                <w:rFonts w:hint="eastAsia" w:hAnsiTheme="minorEastAsia" w:eastAsiaTheme="minorEastAsia"/>
                <w:color w:val="000000"/>
                <w:szCs w:val="21"/>
              </w:rPr>
              <w:t>评分</w:t>
            </w:r>
          </w:p>
        </w:tc>
        <w:tc>
          <w:tcPr>
            <w:tcW w:w="3591" w:type="dxa"/>
            <w:vAlign w:val="center"/>
          </w:tcPr>
          <w:p w14:paraId="261778CB">
            <w:pPr>
              <w:autoSpaceDE w:val="0"/>
              <w:autoSpaceDN w:val="0"/>
              <w:jc w:val="center"/>
              <w:rPr>
                <w:color w:val="000000"/>
                <w:szCs w:val="21"/>
              </w:rPr>
            </w:pPr>
            <w:r>
              <w:rPr>
                <w:rFonts w:hint="eastAsia" w:hAnsiTheme="minorEastAsia" w:eastAsiaTheme="minorEastAsia"/>
                <w:color w:val="000000"/>
                <w:szCs w:val="21"/>
              </w:rPr>
              <w:t>皮肤反应</w:t>
            </w:r>
          </w:p>
        </w:tc>
      </w:tr>
      <w:tr w14:paraId="261778D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407" w:hRule="atLeast"/>
          <w:jc w:val="center"/>
        </w:trPr>
        <w:tc>
          <w:tcPr>
            <w:tcW w:w="4788" w:type="dxa"/>
            <w:vAlign w:val="center"/>
          </w:tcPr>
          <w:p w14:paraId="261778CD">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0</w:t>
            </w:r>
          </w:p>
          <w:p w14:paraId="261778CE">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1</w:t>
            </w:r>
          </w:p>
          <w:p w14:paraId="261778CF">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2</w:t>
            </w:r>
          </w:p>
          <w:p w14:paraId="261778D0">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3</w:t>
            </w:r>
          </w:p>
        </w:tc>
        <w:tc>
          <w:tcPr>
            <w:tcW w:w="3591" w:type="dxa"/>
            <w:vAlign w:val="center"/>
          </w:tcPr>
          <w:p w14:paraId="261778D1">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未见皮肤反应</w:t>
            </w:r>
          </w:p>
          <w:p w14:paraId="261778D2">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散在或小块红斑</w:t>
            </w:r>
          </w:p>
          <w:p w14:paraId="261778D3">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中度红斑和融合</w:t>
            </w:r>
          </w:p>
          <w:p w14:paraId="261778D4">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重度红斑和水肿</w:t>
            </w:r>
          </w:p>
        </w:tc>
      </w:tr>
    </w:tbl>
    <w:p w14:paraId="261778D6">
      <w:pPr>
        <w:pStyle w:val="16"/>
        <w:widowControl w:val="0"/>
        <w:snapToGrid w:val="0"/>
        <w:spacing w:line="300" w:lineRule="auto"/>
        <w:ind w:firstLine="420"/>
        <w:rPr>
          <w:rFonts w:ascii="Times New Roman"/>
          <w:color w:val="000000"/>
          <w:szCs w:val="21"/>
        </w:rPr>
      </w:pPr>
    </w:p>
    <w:p w14:paraId="261778D7">
      <w:pPr>
        <w:pStyle w:val="16"/>
        <w:widowControl w:val="0"/>
        <w:snapToGrid w:val="0"/>
        <w:spacing w:before="156" w:beforeLines="50" w:after="156" w:afterLines="50" w:line="300" w:lineRule="auto"/>
        <w:ind w:firstLine="0" w:firstLineChars="0"/>
        <w:jc w:val="center"/>
        <w:rPr>
          <w:rFonts w:ascii="Times New Roman" w:eastAsia="黑体"/>
          <w:color w:val="000000"/>
          <w:szCs w:val="21"/>
        </w:rPr>
      </w:pPr>
      <w:r>
        <w:rPr>
          <w:rFonts w:hint="eastAsia" w:ascii="Times New Roman" w:eastAsia="黑体"/>
          <w:color w:val="000000"/>
          <w:szCs w:val="21"/>
        </w:rPr>
        <w:t>表3 致敏强度</w:t>
      </w:r>
    </w:p>
    <w:tbl>
      <w:tblPr>
        <w:tblStyle w:val="23"/>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4788"/>
        <w:gridCol w:w="3591"/>
      </w:tblGrid>
      <w:tr w14:paraId="261778D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97" w:hRule="atLeast"/>
          <w:jc w:val="center"/>
        </w:trPr>
        <w:tc>
          <w:tcPr>
            <w:tcW w:w="4788" w:type="dxa"/>
            <w:vAlign w:val="center"/>
          </w:tcPr>
          <w:p w14:paraId="261778D8">
            <w:pPr>
              <w:autoSpaceDE w:val="0"/>
              <w:autoSpaceDN w:val="0"/>
              <w:jc w:val="center"/>
              <w:rPr>
                <w:color w:val="000000"/>
                <w:szCs w:val="21"/>
              </w:rPr>
            </w:pPr>
            <w:r>
              <w:rPr>
                <w:rFonts w:hint="eastAsia"/>
                <w:color w:val="000000"/>
                <w:szCs w:val="21"/>
              </w:rPr>
              <w:t>致敏率%</w:t>
            </w:r>
          </w:p>
        </w:tc>
        <w:tc>
          <w:tcPr>
            <w:tcW w:w="3591" w:type="dxa"/>
            <w:vAlign w:val="center"/>
          </w:tcPr>
          <w:p w14:paraId="261778D9">
            <w:pPr>
              <w:autoSpaceDE w:val="0"/>
              <w:autoSpaceDN w:val="0"/>
              <w:jc w:val="center"/>
              <w:rPr>
                <w:color w:val="000000"/>
                <w:szCs w:val="21"/>
              </w:rPr>
            </w:pPr>
            <w:r>
              <w:rPr>
                <w:rFonts w:hint="eastAsia" w:hAnsiTheme="minorEastAsia" w:eastAsiaTheme="minorEastAsia"/>
                <w:color w:val="000000"/>
                <w:szCs w:val="21"/>
              </w:rPr>
              <w:t>致敏反应</w:t>
            </w:r>
          </w:p>
        </w:tc>
      </w:tr>
      <w:tr w14:paraId="261778E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843" w:hRule="atLeast"/>
          <w:jc w:val="center"/>
        </w:trPr>
        <w:tc>
          <w:tcPr>
            <w:tcW w:w="4788" w:type="dxa"/>
            <w:vAlign w:val="center"/>
          </w:tcPr>
          <w:p w14:paraId="261778DB">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0</w:t>
            </w:r>
            <w:r>
              <w:rPr>
                <w:rFonts w:hint="eastAsia"/>
                <w:color w:val="000000"/>
                <w:szCs w:val="21"/>
              </w:rPr>
              <w:t xml:space="preserve"> </w:t>
            </w:r>
            <w:r>
              <w:rPr>
                <w:rFonts w:hint="eastAsia" w:ascii="仿宋_GB2312" w:eastAsia="仿宋_GB2312"/>
                <w:color w:val="000000"/>
                <w:szCs w:val="21"/>
              </w:rPr>
              <w:t xml:space="preserve">～ </w:t>
            </w:r>
            <w:r>
              <w:rPr>
                <w:rFonts w:hint="eastAsia" w:hAnsiTheme="minorEastAsia" w:eastAsiaTheme="minorEastAsia"/>
                <w:color w:val="000000"/>
                <w:szCs w:val="21"/>
              </w:rPr>
              <w:t>8</w:t>
            </w:r>
          </w:p>
          <w:p w14:paraId="261778DC">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9</w:t>
            </w:r>
            <w:r>
              <w:rPr>
                <w:rFonts w:hint="eastAsia"/>
                <w:color w:val="000000"/>
                <w:szCs w:val="21"/>
              </w:rPr>
              <w:t xml:space="preserve"> </w:t>
            </w:r>
            <w:r>
              <w:rPr>
                <w:rFonts w:hint="eastAsia" w:ascii="仿宋_GB2312" w:eastAsia="仿宋_GB2312"/>
                <w:color w:val="000000"/>
                <w:szCs w:val="21"/>
              </w:rPr>
              <w:t xml:space="preserve">～ </w:t>
            </w:r>
            <w:r>
              <w:rPr>
                <w:rFonts w:hint="eastAsia" w:hAnsiTheme="minorEastAsia" w:eastAsiaTheme="minorEastAsia"/>
                <w:color w:val="000000"/>
                <w:szCs w:val="21"/>
              </w:rPr>
              <w:t>28</w:t>
            </w:r>
          </w:p>
          <w:p w14:paraId="261778DD">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29</w:t>
            </w:r>
            <w:r>
              <w:rPr>
                <w:rFonts w:hint="eastAsia"/>
                <w:color w:val="000000"/>
                <w:szCs w:val="21"/>
              </w:rPr>
              <w:t xml:space="preserve"> </w:t>
            </w:r>
            <w:r>
              <w:rPr>
                <w:rFonts w:hint="eastAsia" w:ascii="仿宋_GB2312" w:eastAsia="仿宋_GB2312"/>
                <w:color w:val="000000"/>
                <w:szCs w:val="21"/>
              </w:rPr>
              <w:t xml:space="preserve">～ </w:t>
            </w:r>
            <w:r>
              <w:rPr>
                <w:rFonts w:hint="eastAsia" w:hAnsiTheme="minorEastAsia" w:eastAsiaTheme="minorEastAsia"/>
                <w:color w:val="000000"/>
                <w:szCs w:val="21"/>
              </w:rPr>
              <w:t>64</w:t>
            </w:r>
          </w:p>
        </w:tc>
        <w:tc>
          <w:tcPr>
            <w:tcW w:w="3591" w:type="dxa"/>
            <w:vAlign w:val="center"/>
          </w:tcPr>
          <w:p w14:paraId="261778DE">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弱</w:t>
            </w:r>
          </w:p>
          <w:p w14:paraId="261778DF">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轻</w:t>
            </w:r>
          </w:p>
          <w:p w14:paraId="261778E0">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中</w:t>
            </w:r>
          </w:p>
        </w:tc>
      </w:tr>
      <w:tr w14:paraId="261778E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735" w:hRule="atLeast"/>
          <w:jc w:val="center"/>
        </w:trPr>
        <w:tc>
          <w:tcPr>
            <w:tcW w:w="4788" w:type="dxa"/>
            <w:vAlign w:val="center"/>
          </w:tcPr>
          <w:p w14:paraId="261778E2">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65</w:t>
            </w:r>
            <w:r>
              <w:rPr>
                <w:rFonts w:hint="eastAsia"/>
                <w:color w:val="000000"/>
                <w:szCs w:val="21"/>
              </w:rPr>
              <w:t xml:space="preserve"> </w:t>
            </w:r>
            <w:r>
              <w:rPr>
                <w:rFonts w:hint="eastAsia" w:ascii="仿宋_GB2312" w:eastAsia="仿宋_GB2312"/>
                <w:color w:val="000000"/>
                <w:szCs w:val="21"/>
              </w:rPr>
              <w:t xml:space="preserve">～ </w:t>
            </w:r>
            <w:r>
              <w:rPr>
                <w:rFonts w:hint="eastAsia" w:hAnsiTheme="minorEastAsia" w:eastAsiaTheme="minorEastAsia"/>
                <w:color w:val="000000"/>
                <w:szCs w:val="21"/>
              </w:rPr>
              <w:t>80</w:t>
            </w:r>
          </w:p>
          <w:p w14:paraId="261778E3">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81</w:t>
            </w:r>
            <w:r>
              <w:rPr>
                <w:rFonts w:hint="eastAsia"/>
                <w:color w:val="000000"/>
                <w:szCs w:val="21"/>
              </w:rPr>
              <w:t xml:space="preserve"> </w:t>
            </w:r>
            <w:r>
              <w:rPr>
                <w:rFonts w:hint="eastAsia" w:ascii="仿宋_GB2312" w:eastAsia="仿宋_GB2312"/>
                <w:color w:val="000000"/>
                <w:szCs w:val="21"/>
              </w:rPr>
              <w:t xml:space="preserve">～ </w:t>
            </w:r>
            <w:r>
              <w:rPr>
                <w:rFonts w:hint="eastAsia" w:hAnsiTheme="minorEastAsia" w:eastAsiaTheme="minorEastAsia"/>
                <w:color w:val="000000"/>
                <w:szCs w:val="21"/>
              </w:rPr>
              <w:t>100</w:t>
            </w:r>
          </w:p>
        </w:tc>
        <w:tc>
          <w:tcPr>
            <w:tcW w:w="3591" w:type="dxa"/>
            <w:vAlign w:val="center"/>
          </w:tcPr>
          <w:p w14:paraId="261778E4">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强</w:t>
            </w:r>
          </w:p>
          <w:p w14:paraId="261778E5">
            <w:pPr>
              <w:autoSpaceDE w:val="0"/>
              <w:autoSpaceDN w:val="0"/>
              <w:jc w:val="center"/>
              <w:rPr>
                <w:rFonts w:hint="eastAsia" w:hAnsiTheme="minorEastAsia" w:eastAsiaTheme="minorEastAsia"/>
                <w:color w:val="000000"/>
                <w:szCs w:val="21"/>
              </w:rPr>
            </w:pPr>
            <w:r>
              <w:rPr>
                <w:rFonts w:hint="eastAsia" w:hAnsiTheme="minorEastAsia" w:eastAsiaTheme="minorEastAsia"/>
                <w:color w:val="000000"/>
                <w:szCs w:val="21"/>
              </w:rPr>
              <w:t>极强</w:t>
            </w:r>
          </w:p>
        </w:tc>
      </w:tr>
    </w:tbl>
    <w:p w14:paraId="261778E7">
      <w:pPr>
        <w:pStyle w:val="16"/>
        <w:widowControl w:val="0"/>
        <w:snapToGrid w:val="0"/>
        <w:spacing w:line="300" w:lineRule="auto"/>
        <w:ind w:firstLine="420"/>
        <w:rPr>
          <w:rFonts w:ascii="Times New Roman"/>
          <w:color w:val="000000"/>
          <w:szCs w:val="21"/>
        </w:rPr>
      </w:pPr>
      <w:r>
        <w:rPr>
          <w:rFonts w:hint="eastAsia" w:ascii="Times New Roman"/>
          <w:color w:val="000000"/>
          <w:szCs w:val="21"/>
        </w:rPr>
        <w:t>注：当致敏率为 0 时，可判为未见皮肤变态反应。</w:t>
      </w:r>
    </w:p>
    <w:p w14:paraId="261778E8">
      <w:pPr>
        <w:pStyle w:val="16"/>
        <w:widowControl w:val="0"/>
        <w:snapToGrid w:val="0"/>
        <w:spacing w:before="156" w:beforeLines="50" w:after="156" w:afterLines="50" w:line="300" w:lineRule="auto"/>
        <w:ind w:firstLine="0" w:firstLineChars="0"/>
        <w:rPr>
          <w:rFonts w:ascii="Times New Roman" w:eastAsia="黑体"/>
          <w:color w:val="000000"/>
          <w:szCs w:val="21"/>
        </w:rPr>
      </w:pPr>
      <w:r>
        <w:rPr>
          <w:rFonts w:hint="eastAsia" w:ascii="Times New Roman" w:eastAsia="黑体"/>
          <w:color w:val="000000"/>
          <w:szCs w:val="21"/>
        </w:rPr>
        <w:t>6  试验结果的解释</w:t>
      </w:r>
    </w:p>
    <w:p w14:paraId="261778E9">
      <w:pPr>
        <w:pStyle w:val="16"/>
        <w:widowControl w:val="0"/>
        <w:snapToGrid w:val="0"/>
        <w:spacing w:line="300" w:lineRule="auto"/>
        <w:ind w:firstLine="420"/>
        <w:rPr>
          <w:rFonts w:ascii="Times New Roman"/>
          <w:color w:val="000000"/>
          <w:szCs w:val="21"/>
        </w:rPr>
      </w:pPr>
      <w:r>
        <w:rPr>
          <w:rFonts w:hint="eastAsia" w:ascii="Times New Roman"/>
          <w:color w:val="000000"/>
          <w:szCs w:val="21"/>
        </w:rPr>
        <w:t>试验结果应能得出受试物的致敏能力和强度。这些结果只能在很有限的范围内外推到人类。引起豚鼠强烈反应的物质在人群中也可能引起一定程度的变态反应，而引起豚鼠较弱反应的物质在人群中也许不能引起变态反应。</w:t>
      </w:r>
    </w:p>
    <w:p w14:paraId="261778EA">
      <w:pPr>
        <w:pStyle w:val="16"/>
        <w:widowControl w:val="0"/>
        <w:snapToGrid w:val="0"/>
        <w:spacing w:line="300" w:lineRule="auto"/>
        <w:ind w:firstLine="420"/>
        <w:rPr>
          <w:rFonts w:ascii="Times New Roman"/>
          <w:color w:val="000000"/>
          <w:szCs w:val="21"/>
        </w:rPr>
      </w:pPr>
    </w:p>
    <w:p w14:paraId="261778EB">
      <w:pPr>
        <w:pStyle w:val="16"/>
        <w:widowControl w:val="0"/>
        <w:snapToGrid w:val="0"/>
        <w:spacing w:line="300" w:lineRule="auto"/>
        <w:ind w:firstLine="420"/>
        <w:rPr>
          <w:snapToGrid w:val="0"/>
        </w:rPr>
        <w:sectPr>
          <w:footerReference r:id="rId3" w:type="default"/>
          <w:footerReference r:id="rId4" w:type="even"/>
          <w:pgSz w:w="11906" w:h="16838"/>
          <w:pgMar w:top="1440" w:right="1803" w:bottom="1440" w:left="1803" w:header="851" w:footer="1247" w:gutter="0"/>
          <w:cols w:space="425" w:num="1"/>
          <w:docGrid w:type="lines" w:linePitch="312" w:charSpace="0"/>
        </w:sectPr>
      </w:pPr>
    </w:p>
    <w:p w14:paraId="261778EC">
      <w:pPr>
        <w:spacing w:before="156" w:beforeLines="50" w:after="156" w:afterLines="50" w:line="300" w:lineRule="auto"/>
        <w:jc w:val="center"/>
        <w:rPr>
          <w:rFonts w:eastAsia="黑体"/>
          <w:sz w:val="32"/>
          <w:szCs w:val="32"/>
        </w:rPr>
      </w:pPr>
      <w:r>
        <w:rPr>
          <w:rFonts w:hint="eastAsia" w:eastAsia="黑体"/>
          <w:sz w:val="32"/>
          <w:szCs w:val="32"/>
        </w:rPr>
        <w:t>皮肤变态反应试验方法（征求意见稿）起草说明</w:t>
      </w:r>
    </w:p>
    <w:p w14:paraId="261778ED">
      <w:pPr>
        <w:spacing w:line="300" w:lineRule="auto"/>
        <w:ind w:firstLine="420" w:firstLineChars="200"/>
        <w:rPr>
          <w:szCs w:val="21"/>
        </w:rPr>
      </w:pPr>
      <w:r>
        <w:rPr>
          <w:rFonts w:hint="eastAsia"/>
          <w:szCs w:val="21"/>
        </w:rPr>
        <w:t>为加强化妆品的监督管理，进一步提高化妆品使用安全性，国家药监局化妆品标准化技术委员会组织开展了《皮肤变态反应试验方法》的研究修订工作。现就工作有关情况说明如下：</w:t>
      </w:r>
    </w:p>
    <w:p w14:paraId="261778EE">
      <w:pPr>
        <w:pStyle w:val="19"/>
        <w:numPr>
          <w:ilvl w:val="0"/>
          <w:numId w:val="1"/>
        </w:numPr>
        <w:spacing w:before="156" w:beforeLines="50" w:after="156" w:afterLines="50" w:line="300" w:lineRule="auto"/>
        <w:ind w:firstLineChars="0"/>
        <w:rPr>
          <w:rFonts w:eastAsia="黑体"/>
          <w:color w:val="FF0000"/>
          <w:sz w:val="24"/>
        </w:rPr>
      </w:pPr>
      <w:r>
        <w:rPr>
          <w:rFonts w:hint="eastAsia" w:eastAsia="黑体"/>
          <w:szCs w:val="21"/>
        </w:rPr>
        <w:t>起草原则</w:t>
      </w:r>
    </w:p>
    <w:p w14:paraId="261778EF">
      <w:pPr>
        <w:spacing w:line="300" w:lineRule="auto"/>
        <w:ind w:firstLine="420" w:firstLineChars="200"/>
        <w:rPr>
          <w:szCs w:val="21"/>
        </w:rPr>
      </w:pPr>
      <w:r>
        <w:rPr>
          <w:rFonts w:hint="eastAsia"/>
          <w:szCs w:val="21"/>
        </w:rPr>
        <w:t>（一）科学规范原则。本试验方法是以我国《化妆品安全技术规范》中收录的《皮肤变态反应试验》为基础，广泛参考国内外相关标准和技术指导原则，以及国内检验检测工作实际情况，遵循科学规范的原则，兼顾与国际标准的接轨。</w:t>
      </w:r>
    </w:p>
    <w:p w14:paraId="261778F0">
      <w:pPr>
        <w:spacing w:line="30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问题导向原则。根据化妆品注册备案检验和技术评价工作中遇到的实际情况，梳理方法中存在的要求不明确、判定不合理等问题，并对这些问题产生的原因和解决方法进行深入分析，进而对该试验方法进行修订完善。</w:t>
      </w:r>
    </w:p>
    <w:p w14:paraId="261778F1">
      <w:pPr>
        <w:spacing w:line="30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（三）公开透明原则。起草过程中，坚持公开透明、广泛参与的原则，充分参考国内外相关法规和技术标准，积极征求检验机构、专家、行业意见，并根据意见反馈情况科学合理地进行修改完善。</w:t>
      </w:r>
    </w:p>
    <w:p w14:paraId="261778F2">
      <w:pPr>
        <w:pStyle w:val="19"/>
        <w:numPr>
          <w:ilvl w:val="0"/>
          <w:numId w:val="1"/>
        </w:numPr>
        <w:spacing w:before="156" w:beforeLines="50" w:after="156" w:afterLines="50" w:line="300" w:lineRule="auto"/>
        <w:ind w:firstLineChars="0"/>
        <w:rPr>
          <w:rFonts w:eastAsia="黑体"/>
          <w:szCs w:val="21"/>
        </w:rPr>
      </w:pPr>
      <w:r>
        <w:rPr>
          <w:rFonts w:hint="eastAsia" w:eastAsia="黑体"/>
          <w:szCs w:val="21"/>
        </w:rPr>
        <w:t>起草过程</w:t>
      </w:r>
    </w:p>
    <w:p w14:paraId="261778F3">
      <w:pPr>
        <w:spacing w:line="300" w:lineRule="auto"/>
        <w:ind w:firstLine="420" w:firstLineChars="200"/>
        <w:rPr>
          <w:szCs w:val="21"/>
        </w:rPr>
      </w:pPr>
      <w:r>
        <w:rPr>
          <w:rFonts w:hint="eastAsia"/>
          <w:szCs w:val="21"/>
        </w:rPr>
        <w:t>本项目为</w:t>
      </w:r>
      <w:r>
        <w:rPr>
          <w:szCs w:val="21"/>
        </w:rPr>
        <w:t>20</w:t>
      </w:r>
      <w:r>
        <w:rPr>
          <w:rFonts w:hint="eastAsia"/>
          <w:szCs w:val="21"/>
        </w:rPr>
        <w:t>25</w:t>
      </w:r>
      <w:r>
        <w:rPr>
          <w:szCs w:val="21"/>
        </w:rPr>
        <w:t>年</w:t>
      </w:r>
      <w:r>
        <w:rPr>
          <w:rFonts w:hint="eastAsia"/>
          <w:szCs w:val="21"/>
        </w:rPr>
        <w:t>化妆品制修订项目之一。通过查阅国内外相关文献资料等调研工作，结合以往工作经验和研究基础，开展了方法的文本修订。2026年7月通过国家药监局化妆品标准化技术委员会安全评价分技术委员会初审，修改完善后形成征求意见稿。</w:t>
      </w:r>
    </w:p>
    <w:p w14:paraId="261778F4">
      <w:pPr>
        <w:pStyle w:val="19"/>
        <w:numPr>
          <w:ilvl w:val="0"/>
          <w:numId w:val="1"/>
        </w:numPr>
        <w:spacing w:before="156" w:beforeLines="50" w:after="156" w:afterLines="50" w:line="300" w:lineRule="auto"/>
        <w:ind w:firstLineChars="0"/>
        <w:rPr>
          <w:rFonts w:eastAsia="黑体"/>
          <w:szCs w:val="21"/>
        </w:rPr>
      </w:pPr>
      <w:r>
        <w:rPr>
          <w:rFonts w:hint="eastAsia" w:eastAsia="黑体"/>
          <w:szCs w:val="21"/>
        </w:rPr>
        <w:t>与我国已有相关标准的关系</w:t>
      </w:r>
    </w:p>
    <w:p w14:paraId="261778F5">
      <w:pPr>
        <w:spacing w:line="300" w:lineRule="auto"/>
        <w:ind w:firstLine="420" w:firstLineChars="200"/>
        <w:rPr>
          <w:szCs w:val="21"/>
        </w:rPr>
      </w:pPr>
      <w:r>
        <w:rPr>
          <w:rFonts w:hint="eastAsia"/>
          <w:szCs w:val="21"/>
        </w:rPr>
        <w:t xml:space="preserve">我国现已发布的皮肤变态反应相关标准包括《化妆品安全技术规范》第六章毒理学试验方法6 《皮肤变态反应试验》、国家标准GB/T </w:t>
      </w:r>
      <w:r>
        <w:rPr>
          <w:szCs w:val="21"/>
        </w:rPr>
        <w:t>2160</w:t>
      </w:r>
      <w:r>
        <w:rPr>
          <w:rFonts w:hint="eastAsia"/>
          <w:szCs w:val="21"/>
        </w:rPr>
        <w:t>8</w:t>
      </w:r>
      <w:r>
        <w:rPr>
          <w:szCs w:val="21"/>
        </w:rPr>
        <w:t>-20</w:t>
      </w:r>
      <w:r>
        <w:rPr>
          <w:rFonts w:hint="eastAsia"/>
          <w:szCs w:val="21"/>
        </w:rPr>
        <w:t>25 《化学品 皮肤致敏试验方法》、《化妆品安全技术规范》第六章毒理学试验方法22 《皮肤变态反应：局部淋巴结试验：DA》、23 《皮肤变态反应：局部淋巴结试验:BrdU-ELISA》、24 《化妆品用化学原料体外皮肤变态反应:直接多肽反应试验》、26 《体外皮肤变态反应 人细胞系活化试验方法》、27《体外皮肤变态反应 氨基酸衍生化反应试验方法》、37 《体外皮肤变态反应 U937细胞激活试验方法》、45《体外皮肤变态反应ARE-Nrf2荧光素酶LuSens试验方法》、46《体外皮肤变态反应 动力学直接多肽反应试验方法》以及50 《皮肤变态反应 局部淋巴结试验方法：BrdU-FCM》。</w:t>
      </w:r>
    </w:p>
    <w:p w14:paraId="261778F6">
      <w:pPr>
        <w:spacing w:line="300" w:lineRule="auto"/>
        <w:ind w:firstLine="420" w:firstLineChars="200"/>
        <w:rPr>
          <w:szCs w:val="21"/>
        </w:rPr>
      </w:pPr>
      <w:r>
        <w:rPr>
          <w:szCs w:val="21"/>
        </w:rPr>
        <w:t>本方法起草过程中，在参考上述我国已有相关标准的基础上，对《化妆品安全技术规范》中的《</w:t>
      </w:r>
      <w:r>
        <w:rPr>
          <w:rFonts w:hint="eastAsia"/>
          <w:szCs w:val="21"/>
        </w:rPr>
        <w:t>皮肤变态反应</w:t>
      </w:r>
      <w:r>
        <w:rPr>
          <w:szCs w:val="21"/>
        </w:rPr>
        <w:t>试验》进行修订。</w:t>
      </w:r>
    </w:p>
    <w:p w14:paraId="261778F7">
      <w:pPr>
        <w:pStyle w:val="19"/>
        <w:numPr>
          <w:ilvl w:val="0"/>
          <w:numId w:val="1"/>
        </w:numPr>
        <w:spacing w:before="156" w:beforeLines="50" w:after="156" w:afterLines="50" w:line="300" w:lineRule="auto"/>
        <w:ind w:firstLineChars="0"/>
        <w:rPr>
          <w:rFonts w:eastAsia="黑体"/>
          <w:szCs w:val="21"/>
        </w:rPr>
      </w:pPr>
      <w:r>
        <w:rPr>
          <w:rFonts w:eastAsia="黑体"/>
          <w:szCs w:val="21"/>
        </w:rPr>
        <w:t>与《化妆品安全技术规范》中原方法的对比情况</w:t>
      </w:r>
    </w:p>
    <w:p w14:paraId="261778F8">
      <w:pPr>
        <w:spacing w:line="300" w:lineRule="auto"/>
        <w:ind w:firstLine="420" w:firstLineChars="200"/>
        <w:rPr>
          <w:rFonts w:eastAsia="黑体"/>
          <w:szCs w:val="21"/>
        </w:rPr>
      </w:pPr>
      <w:r>
        <w:rPr>
          <w:rFonts w:hint="eastAsia"/>
          <w:szCs w:val="21"/>
        </w:rPr>
        <w:t>与原方法比较，主要修订包括：（1）完善试验方法可靠性检查的相关要求，对于局部封闭涂皮法，阳性率由30%修改为15%，皮内注射法阳性率由60%修改为30%；删去不必要的阳性物；（2）在结果评价中分别明确观察时间点的要求；（3）明确阳性对照组动物数量；（4）部分文字表述的修改完善。</w:t>
      </w:r>
    </w:p>
    <w:p w14:paraId="261778F9">
      <w:pPr>
        <w:pStyle w:val="19"/>
        <w:numPr>
          <w:ilvl w:val="0"/>
          <w:numId w:val="1"/>
        </w:numPr>
        <w:spacing w:before="156" w:beforeLines="50" w:after="156" w:afterLines="50" w:line="300" w:lineRule="auto"/>
        <w:ind w:firstLineChars="0"/>
        <w:rPr>
          <w:rFonts w:eastAsia="黑体"/>
          <w:szCs w:val="21"/>
        </w:rPr>
      </w:pPr>
      <w:r>
        <w:rPr>
          <w:rFonts w:hint="eastAsia" w:eastAsia="黑体"/>
          <w:szCs w:val="21"/>
        </w:rPr>
        <w:t>国际相关标准情况</w:t>
      </w:r>
    </w:p>
    <w:p w14:paraId="261778FA">
      <w:pPr>
        <w:spacing w:line="300" w:lineRule="auto"/>
        <w:ind w:firstLine="420" w:firstLineChars="200"/>
        <w:rPr>
          <w:szCs w:val="21"/>
        </w:rPr>
      </w:pPr>
      <w:r>
        <w:rPr>
          <w:szCs w:val="21"/>
        </w:rPr>
        <w:t>20</w:t>
      </w:r>
      <w:r>
        <w:rPr>
          <w:rFonts w:hint="eastAsia"/>
          <w:szCs w:val="21"/>
        </w:rPr>
        <w:t>22</w:t>
      </w:r>
      <w:r>
        <w:rPr>
          <w:szCs w:val="21"/>
        </w:rPr>
        <w:t>年</w:t>
      </w:r>
      <w:r>
        <w:rPr>
          <w:rFonts w:hint="eastAsia"/>
          <w:szCs w:val="21"/>
        </w:rPr>
        <w:t xml:space="preserve">7月经济合作与发展组织（OECD）发布TG 406 </w:t>
      </w:r>
      <w:r>
        <w:rPr>
          <w:szCs w:val="21"/>
        </w:rPr>
        <w:t>Skin Sensitisation</w:t>
      </w:r>
      <w:r>
        <w:rPr>
          <w:rFonts w:hint="eastAsia"/>
          <w:szCs w:val="21"/>
        </w:rPr>
        <w:t>的更新。为与</w:t>
      </w:r>
      <w:r>
        <w:rPr>
          <w:szCs w:val="21"/>
        </w:rPr>
        <w:t>国际标准接轨，本项目在对《化妆品安全技术规范》中的《</w:t>
      </w:r>
      <w:r>
        <w:rPr>
          <w:rFonts w:hint="eastAsia"/>
          <w:szCs w:val="21"/>
        </w:rPr>
        <w:t>皮肤变态反应试验</w:t>
      </w:r>
      <w:r>
        <w:rPr>
          <w:szCs w:val="21"/>
        </w:rPr>
        <w:t>》进行修订时参考了OECD TG 4</w:t>
      </w:r>
      <w:r>
        <w:rPr>
          <w:rFonts w:hint="eastAsia"/>
          <w:szCs w:val="21"/>
        </w:rPr>
        <w:t>06</w:t>
      </w:r>
      <w:r>
        <w:rPr>
          <w:szCs w:val="21"/>
        </w:rPr>
        <w:t>，技术性内容保持基本一致。</w:t>
      </w:r>
    </w:p>
    <w:p w14:paraId="261778FB">
      <w:pPr>
        <w:pStyle w:val="16"/>
        <w:widowControl w:val="0"/>
        <w:snapToGrid w:val="0"/>
        <w:spacing w:line="300" w:lineRule="auto"/>
        <w:ind w:firstLine="420"/>
        <w:rPr>
          <w:snapToGrid w:val="0"/>
        </w:rPr>
      </w:pPr>
    </w:p>
    <w:sectPr>
      <w:pgSz w:w="11906" w:h="16838"/>
      <w:pgMar w:top="1440" w:right="1803" w:bottom="1440" w:left="1803" w:header="851" w:footer="124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81DA49-2796-4540-86CE-EF516A8FC9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E2A7188-8511-4EDC-8BA3-52272C9BAC02}"/>
  </w:font>
  <w:font w:name="仿宋_GB2312">
    <w:panose1 w:val="02010609030101010101"/>
    <w:charset w:val="86"/>
    <w:family w:val="modern"/>
    <w:pitch w:val="default"/>
    <w:sig w:usb0="00000001" w:usb1="080E0000" w:usb2="00000000" w:usb3="00000000" w:csb0="00040000" w:csb1="00000000"/>
    <w:embedRegular r:id="rId3" w:fontKey="{6DE2F0B6-EA25-46A8-99FE-90A2071A482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77907">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77905">
    <w:pPr>
      <w:pStyle w:val="4"/>
      <w:rPr>
        <w:sz w:val="28"/>
        <w:szCs w:val="28"/>
      </w:rPr>
    </w:pPr>
    <w:r>
      <w:rPr>
        <w:rFonts w:hint="eastAsia"/>
        <w:color w:val="FFFFFF"/>
        <w:sz w:val="28"/>
        <w:szCs w:val="28"/>
      </w:rPr>
      <w:t>—</w:t>
    </w: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14</w:t>
    </w:r>
    <w:r>
      <w:rPr>
        <w:sz w:val="28"/>
        <w:szCs w:val="28"/>
      </w:rPr>
      <w:fldChar w:fldCharType="end"/>
    </w:r>
    <w:r>
      <w:rPr>
        <w:rFonts w:hint="eastAsia"/>
        <w:sz w:val="28"/>
        <w:szCs w:val="28"/>
      </w:rPr>
      <w:t>—</w:t>
    </w:r>
  </w:p>
  <w:p w14:paraId="26177906">
    <w:pPr>
      <w:pStyle w:val="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BE55AA"/>
    <w:multiLevelType w:val="multilevel"/>
    <w:tmpl w:val="5FBE55AA"/>
    <w:lvl w:ilvl="0" w:tentative="0">
      <w:start w:val="1"/>
      <w:numFmt w:val="japaneseCounting"/>
      <w:lvlText w:val="%1、"/>
      <w:lvlJc w:val="left"/>
      <w:pPr>
        <w:ind w:left="420" w:hanging="420"/>
      </w:pPr>
      <w:rPr>
        <w:rFonts w:hint="default"/>
        <w:color w:val="auto"/>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Q1YjU4MTg5NWI3ODNlYzMxMzBhMWY1NDgwNjMxYWIifQ=="/>
  </w:docVars>
  <w:rsids>
    <w:rsidRoot w:val="00034FBF"/>
    <w:rsid w:val="000005AC"/>
    <w:rsid w:val="0000080F"/>
    <w:rsid w:val="00003DB0"/>
    <w:rsid w:val="00013AB1"/>
    <w:rsid w:val="0001420A"/>
    <w:rsid w:val="0001557B"/>
    <w:rsid w:val="000217E3"/>
    <w:rsid w:val="000228AF"/>
    <w:rsid w:val="00022E46"/>
    <w:rsid w:val="00023F27"/>
    <w:rsid w:val="000261E3"/>
    <w:rsid w:val="00027E8F"/>
    <w:rsid w:val="000304A1"/>
    <w:rsid w:val="00031382"/>
    <w:rsid w:val="00032FA8"/>
    <w:rsid w:val="00034FBF"/>
    <w:rsid w:val="00036ADA"/>
    <w:rsid w:val="00036E0C"/>
    <w:rsid w:val="0004082B"/>
    <w:rsid w:val="00040F99"/>
    <w:rsid w:val="00042CE4"/>
    <w:rsid w:val="00042D07"/>
    <w:rsid w:val="000434E0"/>
    <w:rsid w:val="00045C84"/>
    <w:rsid w:val="00046FD4"/>
    <w:rsid w:val="00050C3C"/>
    <w:rsid w:val="000544DC"/>
    <w:rsid w:val="000553A5"/>
    <w:rsid w:val="000556FA"/>
    <w:rsid w:val="000575AD"/>
    <w:rsid w:val="00060F16"/>
    <w:rsid w:val="00064CAB"/>
    <w:rsid w:val="00064F09"/>
    <w:rsid w:val="000662D3"/>
    <w:rsid w:val="000709A8"/>
    <w:rsid w:val="000737F8"/>
    <w:rsid w:val="00074A04"/>
    <w:rsid w:val="00075922"/>
    <w:rsid w:val="00076768"/>
    <w:rsid w:val="000779F6"/>
    <w:rsid w:val="00081494"/>
    <w:rsid w:val="0008207D"/>
    <w:rsid w:val="00082BEC"/>
    <w:rsid w:val="000936EE"/>
    <w:rsid w:val="00093709"/>
    <w:rsid w:val="000A150A"/>
    <w:rsid w:val="000A19CB"/>
    <w:rsid w:val="000A200E"/>
    <w:rsid w:val="000A337F"/>
    <w:rsid w:val="000A42DA"/>
    <w:rsid w:val="000A7475"/>
    <w:rsid w:val="000A7A07"/>
    <w:rsid w:val="000B0444"/>
    <w:rsid w:val="000B3D89"/>
    <w:rsid w:val="000B4402"/>
    <w:rsid w:val="000B5060"/>
    <w:rsid w:val="000B5D73"/>
    <w:rsid w:val="000B7B35"/>
    <w:rsid w:val="000C059C"/>
    <w:rsid w:val="000C0D09"/>
    <w:rsid w:val="000D0214"/>
    <w:rsid w:val="000D3027"/>
    <w:rsid w:val="000D6D16"/>
    <w:rsid w:val="000E18F7"/>
    <w:rsid w:val="000E1B87"/>
    <w:rsid w:val="000E24BB"/>
    <w:rsid w:val="000E266F"/>
    <w:rsid w:val="000E2FFE"/>
    <w:rsid w:val="000E3275"/>
    <w:rsid w:val="000E44B1"/>
    <w:rsid w:val="000E4573"/>
    <w:rsid w:val="000E6446"/>
    <w:rsid w:val="000E724B"/>
    <w:rsid w:val="000E76E6"/>
    <w:rsid w:val="000F0153"/>
    <w:rsid w:val="000F2856"/>
    <w:rsid w:val="001022BB"/>
    <w:rsid w:val="00102353"/>
    <w:rsid w:val="00102599"/>
    <w:rsid w:val="001025D5"/>
    <w:rsid w:val="0010456C"/>
    <w:rsid w:val="00106777"/>
    <w:rsid w:val="00112377"/>
    <w:rsid w:val="00116D38"/>
    <w:rsid w:val="00120814"/>
    <w:rsid w:val="00122780"/>
    <w:rsid w:val="001239CE"/>
    <w:rsid w:val="00123C31"/>
    <w:rsid w:val="00124794"/>
    <w:rsid w:val="0013023D"/>
    <w:rsid w:val="0013045F"/>
    <w:rsid w:val="00140DB4"/>
    <w:rsid w:val="001425C1"/>
    <w:rsid w:val="001449FB"/>
    <w:rsid w:val="00145077"/>
    <w:rsid w:val="00147230"/>
    <w:rsid w:val="00151244"/>
    <w:rsid w:val="00151AE2"/>
    <w:rsid w:val="00151BC8"/>
    <w:rsid w:val="0015301F"/>
    <w:rsid w:val="001537FC"/>
    <w:rsid w:val="001541BC"/>
    <w:rsid w:val="00157E3F"/>
    <w:rsid w:val="00160714"/>
    <w:rsid w:val="00163599"/>
    <w:rsid w:val="00163CDC"/>
    <w:rsid w:val="001652FA"/>
    <w:rsid w:val="00165B58"/>
    <w:rsid w:val="00167FD5"/>
    <w:rsid w:val="0017265D"/>
    <w:rsid w:val="00172DF8"/>
    <w:rsid w:val="0017603D"/>
    <w:rsid w:val="00181017"/>
    <w:rsid w:val="001823A9"/>
    <w:rsid w:val="001835E9"/>
    <w:rsid w:val="001836A9"/>
    <w:rsid w:val="0018455C"/>
    <w:rsid w:val="00184FE6"/>
    <w:rsid w:val="0018516A"/>
    <w:rsid w:val="00190388"/>
    <w:rsid w:val="001903AB"/>
    <w:rsid w:val="00191358"/>
    <w:rsid w:val="0019445A"/>
    <w:rsid w:val="0019452B"/>
    <w:rsid w:val="001946DC"/>
    <w:rsid w:val="00196446"/>
    <w:rsid w:val="00196AF7"/>
    <w:rsid w:val="001A0E66"/>
    <w:rsid w:val="001A147D"/>
    <w:rsid w:val="001A22BB"/>
    <w:rsid w:val="001A36E6"/>
    <w:rsid w:val="001A421A"/>
    <w:rsid w:val="001A6588"/>
    <w:rsid w:val="001A7C94"/>
    <w:rsid w:val="001B71D1"/>
    <w:rsid w:val="001C4C3D"/>
    <w:rsid w:val="001D02FF"/>
    <w:rsid w:val="001D328A"/>
    <w:rsid w:val="001D415C"/>
    <w:rsid w:val="001D57F3"/>
    <w:rsid w:val="001E2848"/>
    <w:rsid w:val="001E6754"/>
    <w:rsid w:val="001E6CF1"/>
    <w:rsid w:val="001F0D98"/>
    <w:rsid w:val="001F2923"/>
    <w:rsid w:val="001F69D7"/>
    <w:rsid w:val="001F76C2"/>
    <w:rsid w:val="001F7AF7"/>
    <w:rsid w:val="00202213"/>
    <w:rsid w:val="002027A2"/>
    <w:rsid w:val="0020418B"/>
    <w:rsid w:val="002065A9"/>
    <w:rsid w:val="002100F1"/>
    <w:rsid w:val="0022022A"/>
    <w:rsid w:val="0022031A"/>
    <w:rsid w:val="0022069D"/>
    <w:rsid w:val="0022520D"/>
    <w:rsid w:val="00225ACB"/>
    <w:rsid w:val="00227202"/>
    <w:rsid w:val="00231D1A"/>
    <w:rsid w:val="0024028F"/>
    <w:rsid w:val="00240CF3"/>
    <w:rsid w:val="00241CD4"/>
    <w:rsid w:val="0024320E"/>
    <w:rsid w:val="00244636"/>
    <w:rsid w:val="00244968"/>
    <w:rsid w:val="00245D5C"/>
    <w:rsid w:val="00247268"/>
    <w:rsid w:val="0025078C"/>
    <w:rsid w:val="00250791"/>
    <w:rsid w:val="002548AB"/>
    <w:rsid w:val="002565FE"/>
    <w:rsid w:val="00257AD8"/>
    <w:rsid w:val="00257ED9"/>
    <w:rsid w:val="00261787"/>
    <w:rsid w:val="002617CC"/>
    <w:rsid w:val="0026341F"/>
    <w:rsid w:val="00265239"/>
    <w:rsid w:val="0026523B"/>
    <w:rsid w:val="002656F6"/>
    <w:rsid w:val="002664FC"/>
    <w:rsid w:val="00266E7C"/>
    <w:rsid w:val="00270E71"/>
    <w:rsid w:val="00275054"/>
    <w:rsid w:val="0027618D"/>
    <w:rsid w:val="00276FF5"/>
    <w:rsid w:val="00282B95"/>
    <w:rsid w:val="00283D79"/>
    <w:rsid w:val="00283DF3"/>
    <w:rsid w:val="00286690"/>
    <w:rsid w:val="0028710B"/>
    <w:rsid w:val="00292111"/>
    <w:rsid w:val="00292473"/>
    <w:rsid w:val="00293DBC"/>
    <w:rsid w:val="00294473"/>
    <w:rsid w:val="002A5118"/>
    <w:rsid w:val="002A5559"/>
    <w:rsid w:val="002B0384"/>
    <w:rsid w:val="002B070A"/>
    <w:rsid w:val="002B1671"/>
    <w:rsid w:val="002C33DC"/>
    <w:rsid w:val="002C4622"/>
    <w:rsid w:val="002D1166"/>
    <w:rsid w:val="002D2DBA"/>
    <w:rsid w:val="002D5F4C"/>
    <w:rsid w:val="002D68CB"/>
    <w:rsid w:val="002D6BBA"/>
    <w:rsid w:val="002D6C0E"/>
    <w:rsid w:val="002E0F41"/>
    <w:rsid w:val="002E4118"/>
    <w:rsid w:val="002E7A50"/>
    <w:rsid w:val="002F16A3"/>
    <w:rsid w:val="002F1D24"/>
    <w:rsid w:val="002F21F7"/>
    <w:rsid w:val="002F4066"/>
    <w:rsid w:val="002F4525"/>
    <w:rsid w:val="002F5B79"/>
    <w:rsid w:val="00300390"/>
    <w:rsid w:val="003038AA"/>
    <w:rsid w:val="00305270"/>
    <w:rsid w:val="00305A92"/>
    <w:rsid w:val="00306999"/>
    <w:rsid w:val="00307955"/>
    <w:rsid w:val="0032212F"/>
    <w:rsid w:val="003223CA"/>
    <w:rsid w:val="00322C0E"/>
    <w:rsid w:val="00322D31"/>
    <w:rsid w:val="00324863"/>
    <w:rsid w:val="003256A9"/>
    <w:rsid w:val="00325C04"/>
    <w:rsid w:val="003263F1"/>
    <w:rsid w:val="00330265"/>
    <w:rsid w:val="00330A4D"/>
    <w:rsid w:val="00332680"/>
    <w:rsid w:val="003329C9"/>
    <w:rsid w:val="003332F0"/>
    <w:rsid w:val="00336216"/>
    <w:rsid w:val="00336D7D"/>
    <w:rsid w:val="00341289"/>
    <w:rsid w:val="003413C0"/>
    <w:rsid w:val="00345A3F"/>
    <w:rsid w:val="00350D4B"/>
    <w:rsid w:val="003519BB"/>
    <w:rsid w:val="003539F6"/>
    <w:rsid w:val="003562E9"/>
    <w:rsid w:val="00356B94"/>
    <w:rsid w:val="00356F13"/>
    <w:rsid w:val="00361168"/>
    <w:rsid w:val="00361768"/>
    <w:rsid w:val="003662C4"/>
    <w:rsid w:val="00366435"/>
    <w:rsid w:val="003665F7"/>
    <w:rsid w:val="00366F49"/>
    <w:rsid w:val="00370A3A"/>
    <w:rsid w:val="0037134D"/>
    <w:rsid w:val="0037156D"/>
    <w:rsid w:val="00371EC3"/>
    <w:rsid w:val="003732AD"/>
    <w:rsid w:val="00374F00"/>
    <w:rsid w:val="003752D3"/>
    <w:rsid w:val="00376A07"/>
    <w:rsid w:val="00384111"/>
    <w:rsid w:val="003844AB"/>
    <w:rsid w:val="003875C5"/>
    <w:rsid w:val="003904CC"/>
    <w:rsid w:val="00393D63"/>
    <w:rsid w:val="00394D9F"/>
    <w:rsid w:val="003953EE"/>
    <w:rsid w:val="0039629D"/>
    <w:rsid w:val="003962FC"/>
    <w:rsid w:val="003A32B5"/>
    <w:rsid w:val="003A399C"/>
    <w:rsid w:val="003A46E3"/>
    <w:rsid w:val="003B01E3"/>
    <w:rsid w:val="003C16F0"/>
    <w:rsid w:val="003C3C2A"/>
    <w:rsid w:val="003C50A5"/>
    <w:rsid w:val="003C595F"/>
    <w:rsid w:val="003C5A98"/>
    <w:rsid w:val="003C6E4F"/>
    <w:rsid w:val="003D2353"/>
    <w:rsid w:val="003D42A4"/>
    <w:rsid w:val="003D6DB7"/>
    <w:rsid w:val="003D6DC9"/>
    <w:rsid w:val="003E0628"/>
    <w:rsid w:val="003E0D82"/>
    <w:rsid w:val="003E153C"/>
    <w:rsid w:val="003E4B65"/>
    <w:rsid w:val="003E50D3"/>
    <w:rsid w:val="003E5AEB"/>
    <w:rsid w:val="003E6E97"/>
    <w:rsid w:val="003F22C9"/>
    <w:rsid w:val="003F7AD0"/>
    <w:rsid w:val="00400471"/>
    <w:rsid w:val="0040060A"/>
    <w:rsid w:val="00404363"/>
    <w:rsid w:val="00404A52"/>
    <w:rsid w:val="00404CCC"/>
    <w:rsid w:val="00405C59"/>
    <w:rsid w:val="00407F83"/>
    <w:rsid w:val="00414827"/>
    <w:rsid w:val="00420AE2"/>
    <w:rsid w:val="00423DE6"/>
    <w:rsid w:val="004246C7"/>
    <w:rsid w:val="004264B2"/>
    <w:rsid w:val="00427FEF"/>
    <w:rsid w:val="00430D3F"/>
    <w:rsid w:val="00433F84"/>
    <w:rsid w:val="0043419F"/>
    <w:rsid w:val="0043747E"/>
    <w:rsid w:val="00444563"/>
    <w:rsid w:val="00447141"/>
    <w:rsid w:val="00451C3F"/>
    <w:rsid w:val="00453B5A"/>
    <w:rsid w:val="0045409E"/>
    <w:rsid w:val="00455AF1"/>
    <w:rsid w:val="00457D6E"/>
    <w:rsid w:val="00460754"/>
    <w:rsid w:val="004612F1"/>
    <w:rsid w:val="00463826"/>
    <w:rsid w:val="00464AE0"/>
    <w:rsid w:val="0046777D"/>
    <w:rsid w:val="00470AE5"/>
    <w:rsid w:val="004739A8"/>
    <w:rsid w:val="00476ADE"/>
    <w:rsid w:val="0048271D"/>
    <w:rsid w:val="004833C5"/>
    <w:rsid w:val="00483F6A"/>
    <w:rsid w:val="004845A0"/>
    <w:rsid w:val="00490E77"/>
    <w:rsid w:val="0049252A"/>
    <w:rsid w:val="00493695"/>
    <w:rsid w:val="004941C2"/>
    <w:rsid w:val="00495E89"/>
    <w:rsid w:val="00496BD9"/>
    <w:rsid w:val="004972D3"/>
    <w:rsid w:val="00497442"/>
    <w:rsid w:val="00497A35"/>
    <w:rsid w:val="004A5795"/>
    <w:rsid w:val="004B0B54"/>
    <w:rsid w:val="004B106F"/>
    <w:rsid w:val="004B45E4"/>
    <w:rsid w:val="004B5B66"/>
    <w:rsid w:val="004B634F"/>
    <w:rsid w:val="004C766F"/>
    <w:rsid w:val="004C793A"/>
    <w:rsid w:val="004D302A"/>
    <w:rsid w:val="004D36D9"/>
    <w:rsid w:val="004D4642"/>
    <w:rsid w:val="004D4CFD"/>
    <w:rsid w:val="004D6E03"/>
    <w:rsid w:val="004E2A25"/>
    <w:rsid w:val="004E43CF"/>
    <w:rsid w:val="004E4A66"/>
    <w:rsid w:val="004E523F"/>
    <w:rsid w:val="004E73F1"/>
    <w:rsid w:val="004E7B82"/>
    <w:rsid w:val="004F2453"/>
    <w:rsid w:val="004F40B3"/>
    <w:rsid w:val="00500B00"/>
    <w:rsid w:val="00504D2D"/>
    <w:rsid w:val="005078E1"/>
    <w:rsid w:val="00507C8C"/>
    <w:rsid w:val="00512C28"/>
    <w:rsid w:val="00516A97"/>
    <w:rsid w:val="00521E1B"/>
    <w:rsid w:val="00522D2F"/>
    <w:rsid w:val="0052614E"/>
    <w:rsid w:val="005267ED"/>
    <w:rsid w:val="00526DE4"/>
    <w:rsid w:val="0053533A"/>
    <w:rsid w:val="0054098E"/>
    <w:rsid w:val="0054285D"/>
    <w:rsid w:val="00543D76"/>
    <w:rsid w:val="00544459"/>
    <w:rsid w:val="00544898"/>
    <w:rsid w:val="00544FC9"/>
    <w:rsid w:val="005453B7"/>
    <w:rsid w:val="0055051A"/>
    <w:rsid w:val="00550D4B"/>
    <w:rsid w:val="0055110A"/>
    <w:rsid w:val="0055304C"/>
    <w:rsid w:val="0055423F"/>
    <w:rsid w:val="00554FB9"/>
    <w:rsid w:val="00555509"/>
    <w:rsid w:val="00555811"/>
    <w:rsid w:val="00562F02"/>
    <w:rsid w:val="00563EBC"/>
    <w:rsid w:val="00564BD3"/>
    <w:rsid w:val="005655D5"/>
    <w:rsid w:val="0056773E"/>
    <w:rsid w:val="005709F5"/>
    <w:rsid w:val="00571FC8"/>
    <w:rsid w:val="005734B8"/>
    <w:rsid w:val="00573DD7"/>
    <w:rsid w:val="00575822"/>
    <w:rsid w:val="005758C9"/>
    <w:rsid w:val="00575924"/>
    <w:rsid w:val="005822F1"/>
    <w:rsid w:val="00582C8B"/>
    <w:rsid w:val="00583468"/>
    <w:rsid w:val="00583697"/>
    <w:rsid w:val="005842F8"/>
    <w:rsid w:val="00584EA4"/>
    <w:rsid w:val="00590AD4"/>
    <w:rsid w:val="00590B67"/>
    <w:rsid w:val="00590C09"/>
    <w:rsid w:val="005915FA"/>
    <w:rsid w:val="005922FE"/>
    <w:rsid w:val="0059293D"/>
    <w:rsid w:val="00593D7E"/>
    <w:rsid w:val="00594FBE"/>
    <w:rsid w:val="005951FC"/>
    <w:rsid w:val="005A2BE9"/>
    <w:rsid w:val="005A30C1"/>
    <w:rsid w:val="005A55C2"/>
    <w:rsid w:val="005A5753"/>
    <w:rsid w:val="005A57C2"/>
    <w:rsid w:val="005B037A"/>
    <w:rsid w:val="005B03A8"/>
    <w:rsid w:val="005B3068"/>
    <w:rsid w:val="005B3427"/>
    <w:rsid w:val="005B5417"/>
    <w:rsid w:val="005B65C7"/>
    <w:rsid w:val="005B7674"/>
    <w:rsid w:val="005C030A"/>
    <w:rsid w:val="005C5483"/>
    <w:rsid w:val="005C5ED4"/>
    <w:rsid w:val="005D24D6"/>
    <w:rsid w:val="005D2896"/>
    <w:rsid w:val="005E1ECD"/>
    <w:rsid w:val="005E205C"/>
    <w:rsid w:val="005E437C"/>
    <w:rsid w:val="005E70FB"/>
    <w:rsid w:val="005E7ABB"/>
    <w:rsid w:val="005F080A"/>
    <w:rsid w:val="005F2DB4"/>
    <w:rsid w:val="005F366F"/>
    <w:rsid w:val="005F3EF9"/>
    <w:rsid w:val="005F57E7"/>
    <w:rsid w:val="006019FF"/>
    <w:rsid w:val="00603A35"/>
    <w:rsid w:val="00606333"/>
    <w:rsid w:val="00606C07"/>
    <w:rsid w:val="00607BE9"/>
    <w:rsid w:val="00610185"/>
    <w:rsid w:val="0062175A"/>
    <w:rsid w:val="00623993"/>
    <w:rsid w:val="0062517D"/>
    <w:rsid w:val="00627AC2"/>
    <w:rsid w:val="006311BC"/>
    <w:rsid w:val="006323A3"/>
    <w:rsid w:val="00634337"/>
    <w:rsid w:val="0063537F"/>
    <w:rsid w:val="00636FDE"/>
    <w:rsid w:val="00642510"/>
    <w:rsid w:val="00645D7A"/>
    <w:rsid w:val="00645E9A"/>
    <w:rsid w:val="006523BF"/>
    <w:rsid w:val="00656A77"/>
    <w:rsid w:val="00660081"/>
    <w:rsid w:val="0066018A"/>
    <w:rsid w:val="00661E58"/>
    <w:rsid w:val="00663CA4"/>
    <w:rsid w:val="00670077"/>
    <w:rsid w:val="0067677C"/>
    <w:rsid w:val="00676F65"/>
    <w:rsid w:val="00677B32"/>
    <w:rsid w:val="006809C6"/>
    <w:rsid w:val="00680DC6"/>
    <w:rsid w:val="006811D3"/>
    <w:rsid w:val="0068297A"/>
    <w:rsid w:val="0068424F"/>
    <w:rsid w:val="00685414"/>
    <w:rsid w:val="0068742D"/>
    <w:rsid w:val="006923F6"/>
    <w:rsid w:val="006964CC"/>
    <w:rsid w:val="00697B08"/>
    <w:rsid w:val="00697E04"/>
    <w:rsid w:val="006A0385"/>
    <w:rsid w:val="006A2187"/>
    <w:rsid w:val="006A29CD"/>
    <w:rsid w:val="006A2FCD"/>
    <w:rsid w:val="006A451E"/>
    <w:rsid w:val="006A4748"/>
    <w:rsid w:val="006A639C"/>
    <w:rsid w:val="006B1527"/>
    <w:rsid w:val="006B3494"/>
    <w:rsid w:val="006B5678"/>
    <w:rsid w:val="006B5E89"/>
    <w:rsid w:val="006B732F"/>
    <w:rsid w:val="006C1A7E"/>
    <w:rsid w:val="006C2655"/>
    <w:rsid w:val="006C4947"/>
    <w:rsid w:val="006C545E"/>
    <w:rsid w:val="006C54A9"/>
    <w:rsid w:val="006D4053"/>
    <w:rsid w:val="006D61EB"/>
    <w:rsid w:val="006E0A3E"/>
    <w:rsid w:val="006F048D"/>
    <w:rsid w:val="006F2944"/>
    <w:rsid w:val="006F2CEF"/>
    <w:rsid w:val="00702455"/>
    <w:rsid w:val="007026FF"/>
    <w:rsid w:val="00703CD5"/>
    <w:rsid w:val="00704329"/>
    <w:rsid w:val="00706C1B"/>
    <w:rsid w:val="00711AB8"/>
    <w:rsid w:val="00711BA0"/>
    <w:rsid w:val="00714289"/>
    <w:rsid w:val="007167B6"/>
    <w:rsid w:val="00716BF7"/>
    <w:rsid w:val="00717274"/>
    <w:rsid w:val="007213AD"/>
    <w:rsid w:val="007221F7"/>
    <w:rsid w:val="007243F0"/>
    <w:rsid w:val="00732DFA"/>
    <w:rsid w:val="00742118"/>
    <w:rsid w:val="007464B7"/>
    <w:rsid w:val="0075072C"/>
    <w:rsid w:val="00752438"/>
    <w:rsid w:val="00755666"/>
    <w:rsid w:val="00755DFA"/>
    <w:rsid w:val="00756A69"/>
    <w:rsid w:val="00757225"/>
    <w:rsid w:val="00760630"/>
    <w:rsid w:val="0076138E"/>
    <w:rsid w:val="0076141C"/>
    <w:rsid w:val="00761A59"/>
    <w:rsid w:val="00761C4A"/>
    <w:rsid w:val="007645E3"/>
    <w:rsid w:val="00764FC4"/>
    <w:rsid w:val="00770C7C"/>
    <w:rsid w:val="00775087"/>
    <w:rsid w:val="00780A73"/>
    <w:rsid w:val="00780EB2"/>
    <w:rsid w:val="007814A1"/>
    <w:rsid w:val="007829DE"/>
    <w:rsid w:val="007914C2"/>
    <w:rsid w:val="007942A1"/>
    <w:rsid w:val="00794816"/>
    <w:rsid w:val="007948BC"/>
    <w:rsid w:val="00794DB8"/>
    <w:rsid w:val="0079584F"/>
    <w:rsid w:val="007A171A"/>
    <w:rsid w:val="007A2399"/>
    <w:rsid w:val="007A347C"/>
    <w:rsid w:val="007B0619"/>
    <w:rsid w:val="007B0F5C"/>
    <w:rsid w:val="007B13BD"/>
    <w:rsid w:val="007B3C23"/>
    <w:rsid w:val="007B3E64"/>
    <w:rsid w:val="007B4667"/>
    <w:rsid w:val="007B522F"/>
    <w:rsid w:val="007B751E"/>
    <w:rsid w:val="007B7900"/>
    <w:rsid w:val="007B7A8B"/>
    <w:rsid w:val="007C4D03"/>
    <w:rsid w:val="007C5492"/>
    <w:rsid w:val="007D0AA3"/>
    <w:rsid w:val="007D136C"/>
    <w:rsid w:val="007D14D6"/>
    <w:rsid w:val="007D28B2"/>
    <w:rsid w:val="007D343E"/>
    <w:rsid w:val="007D4AAF"/>
    <w:rsid w:val="007E001C"/>
    <w:rsid w:val="007E0E2D"/>
    <w:rsid w:val="007E2FA4"/>
    <w:rsid w:val="007E4A4A"/>
    <w:rsid w:val="007E4E6C"/>
    <w:rsid w:val="007E65EB"/>
    <w:rsid w:val="007F19BA"/>
    <w:rsid w:val="007F367B"/>
    <w:rsid w:val="00801924"/>
    <w:rsid w:val="0080310C"/>
    <w:rsid w:val="00807BD8"/>
    <w:rsid w:val="00807E4E"/>
    <w:rsid w:val="008108AE"/>
    <w:rsid w:val="00814D7C"/>
    <w:rsid w:val="008158CB"/>
    <w:rsid w:val="0082074A"/>
    <w:rsid w:val="00820ABE"/>
    <w:rsid w:val="00823209"/>
    <w:rsid w:val="00825837"/>
    <w:rsid w:val="00827A52"/>
    <w:rsid w:val="008305D4"/>
    <w:rsid w:val="008307AC"/>
    <w:rsid w:val="0083083A"/>
    <w:rsid w:val="00831F71"/>
    <w:rsid w:val="00833B66"/>
    <w:rsid w:val="0083607B"/>
    <w:rsid w:val="00836DCC"/>
    <w:rsid w:val="00837A4C"/>
    <w:rsid w:val="00840CC0"/>
    <w:rsid w:val="00843182"/>
    <w:rsid w:val="008450F4"/>
    <w:rsid w:val="0084608B"/>
    <w:rsid w:val="00846A44"/>
    <w:rsid w:val="00847CB2"/>
    <w:rsid w:val="008507C7"/>
    <w:rsid w:val="00850C08"/>
    <w:rsid w:val="008511ED"/>
    <w:rsid w:val="00855763"/>
    <w:rsid w:val="00861D56"/>
    <w:rsid w:val="00867970"/>
    <w:rsid w:val="00871121"/>
    <w:rsid w:val="00871E9F"/>
    <w:rsid w:val="0087693C"/>
    <w:rsid w:val="00877A82"/>
    <w:rsid w:val="00882C94"/>
    <w:rsid w:val="008846B6"/>
    <w:rsid w:val="008865A2"/>
    <w:rsid w:val="00887219"/>
    <w:rsid w:val="00890620"/>
    <w:rsid w:val="00893FA4"/>
    <w:rsid w:val="008A3A12"/>
    <w:rsid w:val="008A48B7"/>
    <w:rsid w:val="008B0BD8"/>
    <w:rsid w:val="008B0EF4"/>
    <w:rsid w:val="008B32F0"/>
    <w:rsid w:val="008B33AF"/>
    <w:rsid w:val="008B61D4"/>
    <w:rsid w:val="008C0A57"/>
    <w:rsid w:val="008C25DC"/>
    <w:rsid w:val="008C25E7"/>
    <w:rsid w:val="008C2C36"/>
    <w:rsid w:val="008C4B3D"/>
    <w:rsid w:val="008C5245"/>
    <w:rsid w:val="008D59A4"/>
    <w:rsid w:val="008E4B92"/>
    <w:rsid w:val="008E4F34"/>
    <w:rsid w:val="008E5F0D"/>
    <w:rsid w:val="008E7591"/>
    <w:rsid w:val="008F0637"/>
    <w:rsid w:val="008F063C"/>
    <w:rsid w:val="008F19BE"/>
    <w:rsid w:val="008F69C5"/>
    <w:rsid w:val="008F7199"/>
    <w:rsid w:val="008F78CD"/>
    <w:rsid w:val="008F7D9E"/>
    <w:rsid w:val="00900130"/>
    <w:rsid w:val="00902024"/>
    <w:rsid w:val="00902ACF"/>
    <w:rsid w:val="0090387E"/>
    <w:rsid w:val="00905D31"/>
    <w:rsid w:val="00906FB9"/>
    <w:rsid w:val="00907074"/>
    <w:rsid w:val="00910708"/>
    <w:rsid w:val="00911CE3"/>
    <w:rsid w:val="0091457D"/>
    <w:rsid w:val="009171A7"/>
    <w:rsid w:val="00917B18"/>
    <w:rsid w:val="00920244"/>
    <w:rsid w:val="00921E7A"/>
    <w:rsid w:val="00923DC0"/>
    <w:rsid w:val="00924844"/>
    <w:rsid w:val="00925534"/>
    <w:rsid w:val="009258C7"/>
    <w:rsid w:val="009317D8"/>
    <w:rsid w:val="00931D44"/>
    <w:rsid w:val="00935F16"/>
    <w:rsid w:val="00936F98"/>
    <w:rsid w:val="00941787"/>
    <w:rsid w:val="0094184B"/>
    <w:rsid w:val="00943722"/>
    <w:rsid w:val="00944687"/>
    <w:rsid w:val="00950430"/>
    <w:rsid w:val="00950A51"/>
    <w:rsid w:val="009540A3"/>
    <w:rsid w:val="00955412"/>
    <w:rsid w:val="00955C1A"/>
    <w:rsid w:val="00963272"/>
    <w:rsid w:val="00963A03"/>
    <w:rsid w:val="00963AC4"/>
    <w:rsid w:val="00963E46"/>
    <w:rsid w:val="00967B9F"/>
    <w:rsid w:val="0097225F"/>
    <w:rsid w:val="009727A9"/>
    <w:rsid w:val="00975E04"/>
    <w:rsid w:val="00980B49"/>
    <w:rsid w:val="00981238"/>
    <w:rsid w:val="00981747"/>
    <w:rsid w:val="00981EB3"/>
    <w:rsid w:val="009828D0"/>
    <w:rsid w:val="0098421C"/>
    <w:rsid w:val="00985447"/>
    <w:rsid w:val="00985EC2"/>
    <w:rsid w:val="009875F1"/>
    <w:rsid w:val="009916AE"/>
    <w:rsid w:val="00991C65"/>
    <w:rsid w:val="00992853"/>
    <w:rsid w:val="0099386F"/>
    <w:rsid w:val="00993EDB"/>
    <w:rsid w:val="00994060"/>
    <w:rsid w:val="00996565"/>
    <w:rsid w:val="009966A9"/>
    <w:rsid w:val="0099743F"/>
    <w:rsid w:val="009A55F5"/>
    <w:rsid w:val="009A5EE8"/>
    <w:rsid w:val="009A6EA9"/>
    <w:rsid w:val="009B22AF"/>
    <w:rsid w:val="009B63F9"/>
    <w:rsid w:val="009B6D5A"/>
    <w:rsid w:val="009B7E12"/>
    <w:rsid w:val="009C02EC"/>
    <w:rsid w:val="009C0B0B"/>
    <w:rsid w:val="009C6060"/>
    <w:rsid w:val="009C66C2"/>
    <w:rsid w:val="009D0BBA"/>
    <w:rsid w:val="009D53C1"/>
    <w:rsid w:val="009D7FCE"/>
    <w:rsid w:val="009E0595"/>
    <w:rsid w:val="009E0B19"/>
    <w:rsid w:val="009E23E1"/>
    <w:rsid w:val="009E2BF2"/>
    <w:rsid w:val="009E6278"/>
    <w:rsid w:val="009E632D"/>
    <w:rsid w:val="009E64B1"/>
    <w:rsid w:val="009E6940"/>
    <w:rsid w:val="009F025D"/>
    <w:rsid w:val="009F114A"/>
    <w:rsid w:val="009F5E5D"/>
    <w:rsid w:val="009F6879"/>
    <w:rsid w:val="009F6B49"/>
    <w:rsid w:val="009F73E5"/>
    <w:rsid w:val="009F7543"/>
    <w:rsid w:val="00A0273F"/>
    <w:rsid w:val="00A02DCA"/>
    <w:rsid w:val="00A02FD9"/>
    <w:rsid w:val="00A05325"/>
    <w:rsid w:val="00A05DD9"/>
    <w:rsid w:val="00A062F0"/>
    <w:rsid w:val="00A07570"/>
    <w:rsid w:val="00A20579"/>
    <w:rsid w:val="00A2239C"/>
    <w:rsid w:val="00A23762"/>
    <w:rsid w:val="00A24306"/>
    <w:rsid w:val="00A26E98"/>
    <w:rsid w:val="00A27441"/>
    <w:rsid w:val="00A308A0"/>
    <w:rsid w:val="00A314D0"/>
    <w:rsid w:val="00A34A02"/>
    <w:rsid w:val="00A34B3C"/>
    <w:rsid w:val="00A364A0"/>
    <w:rsid w:val="00A4009E"/>
    <w:rsid w:val="00A418E3"/>
    <w:rsid w:val="00A42EC9"/>
    <w:rsid w:val="00A43FA3"/>
    <w:rsid w:val="00A4460A"/>
    <w:rsid w:val="00A446F6"/>
    <w:rsid w:val="00A458FB"/>
    <w:rsid w:val="00A56F29"/>
    <w:rsid w:val="00A64E90"/>
    <w:rsid w:val="00A65942"/>
    <w:rsid w:val="00A660E4"/>
    <w:rsid w:val="00A70A00"/>
    <w:rsid w:val="00A71DDF"/>
    <w:rsid w:val="00A72C7B"/>
    <w:rsid w:val="00A81832"/>
    <w:rsid w:val="00A81841"/>
    <w:rsid w:val="00A83AA9"/>
    <w:rsid w:val="00A90120"/>
    <w:rsid w:val="00A92BAC"/>
    <w:rsid w:val="00A95A34"/>
    <w:rsid w:val="00AA0D10"/>
    <w:rsid w:val="00AA1028"/>
    <w:rsid w:val="00AA51AA"/>
    <w:rsid w:val="00AA66D0"/>
    <w:rsid w:val="00AA7523"/>
    <w:rsid w:val="00AB016C"/>
    <w:rsid w:val="00AB29BD"/>
    <w:rsid w:val="00AB443B"/>
    <w:rsid w:val="00AB6D11"/>
    <w:rsid w:val="00AC1F57"/>
    <w:rsid w:val="00AC3F4A"/>
    <w:rsid w:val="00AC5C8A"/>
    <w:rsid w:val="00AC669A"/>
    <w:rsid w:val="00AD3292"/>
    <w:rsid w:val="00AD596C"/>
    <w:rsid w:val="00AD7652"/>
    <w:rsid w:val="00AD7A00"/>
    <w:rsid w:val="00AE1F36"/>
    <w:rsid w:val="00AE3DF3"/>
    <w:rsid w:val="00AE41B0"/>
    <w:rsid w:val="00AE41DC"/>
    <w:rsid w:val="00AE5F6A"/>
    <w:rsid w:val="00AF27F4"/>
    <w:rsid w:val="00AF362A"/>
    <w:rsid w:val="00AF6303"/>
    <w:rsid w:val="00AF755D"/>
    <w:rsid w:val="00B02897"/>
    <w:rsid w:val="00B03CBE"/>
    <w:rsid w:val="00B046EE"/>
    <w:rsid w:val="00B055DB"/>
    <w:rsid w:val="00B06FB4"/>
    <w:rsid w:val="00B11B6A"/>
    <w:rsid w:val="00B14F51"/>
    <w:rsid w:val="00B15946"/>
    <w:rsid w:val="00B16B4F"/>
    <w:rsid w:val="00B2338A"/>
    <w:rsid w:val="00B2514F"/>
    <w:rsid w:val="00B2609C"/>
    <w:rsid w:val="00B26340"/>
    <w:rsid w:val="00B309EA"/>
    <w:rsid w:val="00B32B82"/>
    <w:rsid w:val="00B33D5E"/>
    <w:rsid w:val="00B362D9"/>
    <w:rsid w:val="00B36983"/>
    <w:rsid w:val="00B409A4"/>
    <w:rsid w:val="00B4167F"/>
    <w:rsid w:val="00B41809"/>
    <w:rsid w:val="00B44187"/>
    <w:rsid w:val="00B44F5F"/>
    <w:rsid w:val="00B45F14"/>
    <w:rsid w:val="00B46470"/>
    <w:rsid w:val="00B4719D"/>
    <w:rsid w:val="00B47336"/>
    <w:rsid w:val="00B5041B"/>
    <w:rsid w:val="00B51136"/>
    <w:rsid w:val="00B51186"/>
    <w:rsid w:val="00B52B76"/>
    <w:rsid w:val="00B55886"/>
    <w:rsid w:val="00B56ED1"/>
    <w:rsid w:val="00B575D1"/>
    <w:rsid w:val="00B57DFF"/>
    <w:rsid w:val="00B65AA1"/>
    <w:rsid w:val="00B669D7"/>
    <w:rsid w:val="00B6730F"/>
    <w:rsid w:val="00B71FCF"/>
    <w:rsid w:val="00B72C96"/>
    <w:rsid w:val="00B7367C"/>
    <w:rsid w:val="00B73BE0"/>
    <w:rsid w:val="00B754D6"/>
    <w:rsid w:val="00B76171"/>
    <w:rsid w:val="00B77C52"/>
    <w:rsid w:val="00B83FDF"/>
    <w:rsid w:val="00B91BD4"/>
    <w:rsid w:val="00B9397D"/>
    <w:rsid w:val="00B96AE9"/>
    <w:rsid w:val="00B96E80"/>
    <w:rsid w:val="00BA040E"/>
    <w:rsid w:val="00BA107E"/>
    <w:rsid w:val="00BA3B13"/>
    <w:rsid w:val="00BA5807"/>
    <w:rsid w:val="00BA5D09"/>
    <w:rsid w:val="00BA7634"/>
    <w:rsid w:val="00BA7D42"/>
    <w:rsid w:val="00BB0457"/>
    <w:rsid w:val="00BB362A"/>
    <w:rsid w:val="00BB3B5E"/>
    <w:rsid w:val="00BB614F"/>
    <w:rsid w:val="00BC0959"/>
    <w:rsid w:val="00BC2374"/>
    <w:rsid w:val="00BC5400"/>
    <w:rsid w:val="00BC6676"/>
    <w:rsid w:val="00BC6920"/>
    <w:rsid w:val="00BD0AB5"/>
    <w:rsid w:val="00BD0C56"/>
    <w:rsid w:val="00BD344F"/>
    <w:rsid w:val="00BD4754"/>
    <w:rsid w:val="00BE23C7"/>
    <w:rsid w:val="00BE370B"/>
    <w:rsid w:val="00BE3A1D"/>
    <w:rsid w:val="00BF383C"/>
    <w:rsid w:val="00BF573E"/>
    <w:rsid w:val="00BF57AB"/>
    <w:rsid w:val="00BF6D9B"/>
    <w:rsid w:val="00C00CC0"/>
    <w:rsid w:val="00C044BF"/>
    <w:rsid w:val="00C05C3D"/>
    <w:rsid w:val="00C06671"/>
    <w:rsid w:val="00C07B53"/>
    <w:rsid w:val="00C11BB4"/>
    <w:rsid w:val="00C1353B"/>
    <w:rsid w:val="00C136BD"/>
    <w:rsid w:val="00C1474C"/>
    <w:rsid w:val="00C163B2"/>
    <w:rsid w:val="00C166E8"/>
    <w:rsid w:val="00C1688F"/>
    <w:rsid w:val="00C17A14"/>
    <w:rsid w:val="00C17AF8"/>
    <w:rsid w:val="00C217E5"/>
    <w:rsid w:val="00C24E71"/>
    <w:rsid w:val="00C25C38"/>
    <w:rsid w:val="00C26B87"/>
    <w:rsid w:val="00C279CA"/>
    <w:rsid w:val="00C300DD"/>
    <w:rsid w:val="00C30E7B"/>
    <w:rsid w:val="00C312A0"/>
    <w:rsid w:val="00C3309A"/>
    <w:rsid w:val="00C43939"/>
    <w:rsid w:val="00C51DE3"/>
    <w:rsid w:val="00C55563"/>
    <w:rsid w:val="00C572DD"/>
    <w:rsid w:val="00C60788"/>
    <w:rsid w:val="00C60BC6"/>
    <w:rsid w:val="00C6281C"/>
    <w:rsid w:val="00C62A30"/>
    <w:rsid w:val="00C63FBC"/>
    <w:rsid w:val="00C663A7"/>
    <w:rsid w:val="00C66E2E"/>
    <w:rsid w:val="00C66F83"/>
    <w:rsid w:val="00C71314"/>
    <w:rsid w:val="00C72947"/>
    <w:rsid w:val="00C7347F"/>
    <w:rsid w:val="00C734BE"/>
    <w:rsid w:val="00C75167"/>
    <w:rsid w:val="00C75C48"/>
    <w:rsid w:val="00C76291"/>
    <w:rsid w:val="00C809A9"/>
    <w:rsid w:val="00C82860"/>
    <w:rsid w:val="00C85238"/>
    <w:rsid w:val="00C86F03"/>
    <w:rsid w:val="00C87103"/>
    <w:rsid w:val="00C90223"/>
    <w:rsid w:val="00C92177"/>
    <w:rsid w:val="00C93B64"/>
    <w:rsid w:val="00C966BE"/>
    <w:rsid w:val="00C97850"/>
    <w:rsid w:val="00CA0F60"/>
    <w:rsid w:val="00CA2112"/>
    <w:rsid w:val="00CA31B0"/>
    <w:rsid w:val="00CA4847"/>
    <w:rsid w:val="00CA6DFE"/>
    <w:rsid w:val="00CA7259"/>
    <w:rsid w:val="00CA77CE"/>
    <w:rsid w:val="00CB2E33"/>
    <w:rsid w:val="00CB4011"/>
    <w:rsid w:val="00CB640C"/>
    <w:rsid w:val="00CC2A51"/>
    <w:rsid w:val="00CC4809"/>
    <w:rsid w:val="00CC49C3"/>
    <w:rsid w:val="00CC7E25"/>
    <w:rsid w:val="00CD4FF6"/>
    <w:rsid w:val="00CD6556"/>
    <w:rsid w:val="00CF0023"/>
    <w:rsid w:val="00CF198A"/>
    <w:rsid w:val="00CF25BD"/>
    <w:rsid w:val="00CF3370"/>
    <w:rsid w:val="00CF3ABE"/>
    <w:rsid w:val="00CF6991"/>
    <w:rsid w:val="00CF76D9"/>
    <w:rsid w:val="00D01734"/>
    <w:rsid w:val="00D0342C"/>
    <w:rsid w:val="00D070CF"/>
    <w:rsid w:val="00D1051F"/>
    <w:rsid w:val="00D107B5"/>
    <w:rsid w:val="00D12CE1"/>
    <w:rsid w:val="00D14245"/>
    <w:rsid w:val="00D1449A"/>
    <w:rsid w:val="00D156BD"/>
    <w:rsid w:val="00D21E17"/>
    <w:rsid w:val="00D221B8"/>
    <w:rsid w:val="00D234CB"/>
    <w:rsid w:val="00D23D98"/>
    <w:rsid w:val="00D24E46"/>
    <w:rsid w:val="00D26A63"/>
    <w:rsid w:val="00D31896"/>
    <w:rsid w:val="00D32D3A"/>
    <w:rsid w:val="00D3335F"/>
    <w:rsid w:val="00D334C4"/>
    <w:rsid w:val="00D34491"/>
    <w:rsid w:val="00D36D0B"/>
    <w:rsid w:val="00D411B0"/>
    <w:rsid w:val="00D43932"/>
    <w:rsid w:val="00D44CEB"/>
    <w:rsid w:val="00D47FA0"/>
    <w:rsid w:val="00D533B6"/>
    <w:rsid w:val="00D53C97"/>
    <w:rsid w:val="00D55CE5"/>
    <w:rsid w:val="00D566C0"/>
    <w:rsid w:val="00D57360"/>
    <w:rsid w:val="00D57949"/>
    <w:rsid w:val="00D63398"/>
    <w:rsid w:val="00D64AC0"/>
    <w:rsid w:val="00D6550D"/>
    <w:rsid w:val="00D660B3"/>
    <w:rsid w:val="00D66F2D"/>
    <w:rsid w:val="00D67C5E"/>
    <w:rsid w:val="00D71688"/>
    <w:rsid w:val="00D771EA"/>
    <w:rsid w:val="00D77787"/>
    <w:rsid w:val="00D779B6"/>
    <w:rsid w:val="00D802D0"/>
    <w:rsid w:val="00D80BE9"/>
    <w:rsid w:val="00D83666"/>
    <w:rsid w:val="00D8479D"/>
    <w:rsid w:val="00D87062"/>
    <w:rsid w:val="00D90A9A"/>
    <w:rsid w:val="00D91EFA"/>
    <w:rsid w:val="00DA112A"/>
    <w:rsid w:val="00DA11ED"/>
    <w:rsid w:val="00DA176F"/>
    <w:rsid w:val="00DB133E"/>
    <w:rsid w:val="00DB1E81"/>
    <w:rsid w:val="00DB5267"/>
    <w:rsid w:val="00DB66F1"/>
    <w:rsid w:val="00DB6B4E"/>
    <w:rsid w:val="00DB7616"/>
    <w:rsid w:val="00DB767A"/>
    <w:rsid w:val="00DB77CB"/>
    <w:rsid w:val="00DB7A2C"/>
    <w:rsid w:val="00DC0E61"/>
    <w:rsid w:val="00DC503C"/>
    <w:rsid w:val="00DC5BC2"/>
    <w:rsid w:val="00DC676F"/>
    <w:rsid w:val="00DD0B76"/>
    <w:rsid w:val="00DD26D6"/>
    <w:rsid w:val="00DE2DA6"/>
    <w:rsid w:val="00DE3FA4"/>
    <w:rsid w:val="00DE66D8"/>
    <w:rsid w:val="00DF0EC6"/>
    <w:rsid w:val="00DF18F8"/>
    <w:rsid w:val="00DF2354"/>
    <w:rsid w:val="00DF24DF"/>
    <w:rsid w:val="00DF2F83"/>
    <w:rsid w:val="00DF2FFD"/>
    <w:rsid w:val="00DF392D"/>
    <w:rsid w:val="00DF57AF"/>
    <w:rsid w:val="00DF5A2E"/>
    <w:rsid w:val="00E002C7"/>
    <w:rsid w:val="00E018B6"/>
    <w:rsid w:val="00E03686"/>
    <w:rsid w:val="00E045EA"/>
    <w:rsid w:val="00E0707B"/>
    <w:rsid w:val="00E07CEC"/>
    <w:rsid w:val="00E07E0D"/>
    <w:rsid w:val="00E10024"/>
    <w:rsid w:val="00E10D4F"/>
    <w:rsid w:val="00E13B43"/>
    <w:rsid w:val="00E17BFA"/>
    <w:rsid w:val="00E24218"/>
    <w:rsid w:val="00E24851"/>
    <w:rsid w:val="00E250FD"/>
    <w:rsid w:val="00E337B5"/>
    <w:rsid w:val="00E343BA"/>
    <w:rsid w:val="00E36030"/>
    <w:rsid w:val="00E5014C"/>
    <w:rsid w:val="00E50B88"/>
    <w:rsid w:val="00E53010"/>
    <w:rsid w:val="00E53643"/>
    <w:rsid w:val="00E55428"/>
    <w:rsid w:val="00E63C26"/>
    <w:rsid w:val="00E66132"/>
    <w:rsid w:val="00E67D5C"/>
    <w:rsid w:val="00E71E2A"/>
    <w:rsid w:val="00E72294"/>
    <w:rsid w:val="00E728ED"/>
    <w:rsid w:val="00E729D9"/>
    <w:rsid w:val="00E740EE"/>
    <w:rsid w:val="00E74C15"/>
    <w:rsid w:val="00E7586C"/>
    <w:rsid w:val="00E76F27"/>
    <w:rsid w:val="00E77C87"/>
    <w:rsid w:val="00E82FC2"/>
    <w:rsid w:val="00E83F63"/>
    <w:rsid w:val="00E87501"/>
    <w:rsid w:val="00E9065C"/>
    <w:rsid w:val="00E93215"/>
    <w:rsid w:val="00E94355"/>
    <w:rsid w:val="00E9509F"/>
    <w:rsid w:val="00E954B8"/>
    <w:rsid w:val="00E96560"/>
    <w:rsid w:val="00E97313"/>
    <w:rsid w:val="00E976B7"/>
    <w:rsid w:val="00EA500B"/>
    <w:rsid w:val="00EA53FD"/>
    <w:rsid w:val="00EA66B7"/>
    <w:rsid w:val="00EB22E9"/>
    <w:rsid w:val="00EB239E"/>
    <w:rsid w:val="00EB2FD2"/>
    <w:rsid w:val="00EB4606"/>
    <w:rsid w:val="00EB4EA5"/>
    <w:rsid w:val="00EB7E1B"/>
    <w:rsid w:val="00EC41A4"/>
    <w:rsid w:val="00EC55D3"/>
    <w:rsid w:val="00EC56E0"/>
    <w:rsid w:val="00EC69E0"/>
    <w:rsid w:val="00EC6B91"/>
    <w:rsid w:val="00ED27FD"/>
    <w:rsid w:val="00ED680D"/>
    <w:rsid w:val="00EE096E"/>
    <w:rsid w:val="00EE3AA7"/>
    <w:rsid w:val="00EE6D59"/>
    <w:rsid w:val="00EF0214"/>
    <w:rsid w:val="00EF246C"/>
    <w:rsid w:val="00EF3801"/>
    <w:rsid w:val="00EF43F8"/>
    <w:rsid w:val="00EF4FC6"/>
    <w:rsid w:val="00EF7BAC"/>
    <w:rsid w:val="00F016E8"/>
    <w:rsid w:val="00F02278"/>
    <w:rsid w:val="00F048A1"/>
    <w:rsid w:val="00F04A0A"/>
    <w:rsid w:val="00F05F1D"/>
    <w:rsid w:val="00F06A41"/>
    <w:rsid w:val="00F11ADE"/>
    <w:rsid w:val="00F1299B"/>
    <w:rsid w:val="00F12A9C"/>
    <w:rsid w:val="00F14090"/>
    <w:rsid w:val="00F16A07"/>
    <w:rsid w:val="00F17E68"/>
    <w:rsid w:val="00F26C8A"/>
    <w:rsid w:val="00F30A19"/>
    <w:rsid w:val="00F339E5"/>
    <w:rsid w:val="00F34967"/>
    <w:rsid w:val="00F3727E"/>
    <w:rsid w:val="00F37FBE"/>
    <w:rsid w:val="00F40E94"/>
    <w:rsid w:val="00F4383C"/>
    <w:rsid w:val="00F46135"/>
    <w:rsid w:val="00F47FA7"/>
    <w:rsid w:val="00F50F0E"/>
    <w:rsid w:val="00F5163E"/>
    <w:rsid w:val="00F52799"/>
    <w:rsid w:val="00F5447E"/>
    <w:rsid w:val="00F54F36"/>
    <w:rsid w:val="00F54F66"/>
    <w:rsid w:val="00F55A0D"/>
    <w:rsid w:val="00F56251"/>
    <w:rsid w:val="00F5666B"/>
    <w:rsid w:val="00F571F0"/>
    <w:rsid w:val="00F61654"/>
    <w:rsid w:val="00F6391A"/>
    <w:rsid w:val="00F63E23"/>
    <w:rsid w:val="00F63E52"/>
    <w:rsid w:val="00F663E3"/>
    <w:rsid w:val="00F666C9"/>
    <w:rsid w:val="00F6737B"/>
    <w:rsid w:val="00F70DDD"/>
    <w:rsid w:val="00F7198F"/>
    <w:rsid w:val="00F73A14"/>
    <w:rsid w:val="00F73DAC"/>
    <w:rsid w:val="00F809BE"/>
    <w:rsid w:val="00F8122F"/>
    <w:rsid w:val="00F85272"/>
    <w:rsid w:val="00F8587B"/>
    <w:rsid w:val="00F85F8C"/>
    <w:rsid w:val="00F91D14"/>
    <w:rsid w:val="00F9408C"/>
    <w:rsid w:val="00F942FB"/>
    <w:rsid w:val="00F943DA"/>
    <w:rsid w:val="00F943F9"/>
    <w:rsid w:val="00F9572D"/>
    <w:rsid w:val="00FA2ADA"/>
    <w:rsid w:val="00FA4224"/>
    <w:rsid w:val="00FA4BEB"/>
    <w:rsid w:val="00FB28F4"/>
    <w:rsid w:val="00FB3B9E"/>
    <w:rsid w:val="00FB4CFC"/>
    <w:rsid w:val="00FB6E15"/>
    <w:rsid w:val="00FB71B2"/>
    <w:rsid w:val="00FC15D6"/>
    <w:rsid w:val="00FC303C"/>
    <w:rsid w:val="00FC324E"/>
    <w:rsid w:val="00FC3E05"/>
    <w:rsid w:val="00FC640D"/>
    <w:rsid w:val="00FC70F3"/>
    <w:rsid w:val="00FD0FA5"/>
    <w:rsid w:val="00FD1A8E"/>
    <w:rsid w:val="00FD4D21"/>
    <w:rsid w:val="00FE04DD"/>
    <w:rsid w:val="00FE1445"/>
    <w:rsid w:val="00FE2BE8"/>
    <w:rsid w:val="00FF0167"/>
    <w:rsid w:val="00FF30BA"/>
    <w:rsid w:val="00FF3C82"/>
    <w:rsid w:val="00FF430E"/>
    <w:rsid w:val="00FF4C8D"/>
    <w:rsid w:val="00FF5087"/>
    <w:rsid w:val="00FF66D4"/>
    <w:rsid w:val="00FF6953"/>
    <w:rsid w:val="00FF6DB2"/>
    <w:rsid w:val="00FF710D"/>
    <w:rsid w:val="00FF7F5B"/>
    <w:rsid w:val="01DA7C98"/>
    <w:rsid w:val="029525CA"/>
    <w:rsid w:val="0377139E"/>
    <w:rsid w:val="047B6F67"/>
    <w:rsid w:val="053D4AA7"/>
    <w:rsid w:val="05D55216"/>
    <w:rsid w:val="066F069C"/>
    <w:rsid w:val="06747D87"/>
    <w:rsid w:val="06E37835"/>
    <w:rsid w:val="07F33D53"/>
    <w:rsid w:val="09285011"/>
    <w:rsid w:val="09E413B3"/>
    <w:rsid w:val="0A8C26DA"/>
    <w:rsid w:val="0ADF4C24"/>
    <w:rsid w:val="0B292074"/>
    <w:rsid w:val="0CF640CE"/>
    <w:rsid w:val="0CF812EA"/>
    <w:rsid w:val="0D3C254C"/>
    <w:rsid w:val="0D681B8E"/>
    <w:rsid w:val="0EC82A4F"/>
    <w:rsid w:val="0F085857"/>
    <w:rsid w:val="10481218"/>
    <w:rsid w:val="10E32514"/>
    <w:rsid w:val="110411F6"/>
    <w:rsid w:val="12180BBD"/>
    <w:rsid w:val="13CE3435"/>
    <w:rsid w:val="16B6533D"/>
    <w:rsid w:val="18584E7F"/>
    <w:rsid w:val="188F15D4"/>
    <w:rsid w:val="1B1175F6"/>
    <w:rsid w:val="1BBB7A8F"/>
    <w:rsid w:val="1CB347A4"/>
    <w:rsid w:val="1CDC43CA"/>
    <w:rsid w:val="1CEB0181"/>
    <w:rsid w:val="1DAB785E"/>
    <w:rsid w:val="1DC75A85"/>
    <w:rsid w:val="1E0C3ADC"/>
    <w:rsid w:val="1F5B299F"/>
    <w:rsid w:val="1FC42E2D"/>
    <w:rsid w:val="1FD652ED"/>
    <w:rsid w:val="200A7D1E"/>
    <w:rsid w:val="203E1472"/>
    <w:rsid w:val="203F292F"/>
    <w:rsid w:val="22CD3C76"/>
    <w:rsid w:val="23112215"/>
    <w:rsid w:val="23700030"/>
    <w:rsid w:val="23A01B1A"/>
    <w:rsid w:val="23A5729F"/>
    <w:rsid w:val="24412907"/>
    <w:rsid w:val="265F2C81"/>
    <w:rsid w:val="276A1EBA"/>
    <w:rsid w:val="27A41B88"/>
    <w:rsid w:val="28DC181B"/>
    <w:rsid w:val="2A2D4F40"/>
    <w:rsid w:val="2B1419C6"/>
    <w:rsid w:val="2B6A4948"/>
    <w:rsid w:val="2B991C14"/>
    <w:rsid w:val="2C790D48"/>
    <w:rsid w:val="2C911DAD"/>
    <w:rsid w:val="2D1D0939"/>
    <w:rsid w:val="2D462BD4"/>
    <w:rsid w:val="2E0C4164"/>
    <w:rsid w:val="2E11427C"/>
    <w:rsid w:val="2EF10397"/>
    <w:rsid w:val="2FDF7015"/>
    <w:rsid w:val="314356E8"/>
    <w:rsid w:val="31437889"/>
    <w:rsid w:val="31872740"/>
    <w:rsid w:val="31C83B36"/>
    <w:rsid w:val="32C338D5"/>
    <w:rsid w:val="33B15367"/>
    <w:rsid w:val="33E0206B"/>
    <w:rsid w:val="33F97028"/>
    <w:rsid w:val="3622425C"/>
    <w:rsid w:val="368F29DB"/>
    <w:rsid w:val="36E16C19"/>
    <w:rsid w:val="37943E0C"/>
    <w:rsid w:val="384B7C91"/>
    <w:rsid w:val="39F71729"/>
    <w:rsid w:val="3A61402A"/>
    <w:rsid w:val="3A881FA5"/>
    <w:rsid w:val="3B11217B"/>
    <w:rsid w:val="3B715E84"/>
    <w:rsid w:val="3BC16E8F"/>
    <w:rsid w:val="3C8342D6"/>
    <w:rsid w:val="3DB36D78"/>
    <w:rsid w:val="3DD40A79"/>
    <w:rsid w:val="3DFD44FE"/>
    <w:rsid w:val="3F522DEF"/>
    <w:rsid w:val="3FFD3288"/>
    <w:rsid w:val="40466AC6"/>
    <w:rsid w:val="40A84E4B"/>
    <w:rsid w:val="40AD67D4"/>
    <w:rsid w:val="40BA692C"/>
    <w:rsid w:val="414172BF"/>
    <w:rsid w:val="41717932"/>
    <w:rsid w:val="42066E88"/>
    <w:rsid w:val="440C3DB3"/>
    <w:rsid w:val="44CF07D6"/>
    <w:rsid w:val="45ED5849"/>
    <w:rsid w:val="478C50BE"/>
    <w:rsid w:val="47DC7287"/>
    <w:rsid w:val="498E69BD"/>
    <w:rsid w:val="4A641E98"/>
    <w:rsid w:val="4AA94B8B"/>
    <w:rsid w:val="4B2F60E9"/>
    <w:rsid w:val="4BA9153A"/>
    <w:rsid w:val="4BB275BC"/>
    <w:rsid w:val="4CEF2847"/>
    <w:rsid w:val="4D2F6C95"/>
    <w:rsid w:val="4EA84268"/>
    <w:rsid w:val="4ECC0AD3"/>
    <w:rsid w:val="50BC5E30"/>
    <w:rsid w:val="50D17F23"/>
    <w:rsid w:val="51D35917"/>
    <w:rsid w:val="52C6295D"/>
    <w:rsid w:val="52E5410B"/>
    <w:rsid w:val="54B13CF6"/>
    <w:rsid w:val="54E00A4E"/>
    <w:rsid w:val="56FD401A"/>
    <w:rsid w:val="5794675D"/>
    <w:rsid w:val="587924B3"/>
    <w:rsid w:val="596549EA"/>
    <w:rsid w:val="59E737A2"/>
    <w:rsid w:val="5A7979FA"/>
    <w:rsid w:val="5C9E02EB"/>
    <w:rsid w:val="5CAD50A8"/>
    <w:rsid w:val="5D142CD1"/>
    <w:rsid w:val="5D6121B1"/>
    <w:rsid w:val="5E2532E6"/>
    <w:rsid w:val="5E4C6141"/>
    <w:rsid w:val="5EF12658"/>
    <w:rsid w:val="606F03C5"/>
    <w:rsid w:val="615929EF"/>
    <w:rsid w:val="619D451E"/>
    <w:rsid w:val="64DC5686"/>
    <w:rsid w:val="64E9279D"/>
    <w:rsid w:val="651200DE"/>
    <w:rsid w:val="65CA7F7C"/>
    <w:rsid w:val="676D5D3F"/>
    <w:rsid w:val="67767967"/>
    <w:rsid w:val="67B56437"/>
    <w:rsid w:val="68CD337D"/>
    <w:rsid w:val="69F3315F"/>
    <w:rsid w:val="6A397A95"/>
    <w:rsid w:val="6A881692"/>
    <w:rsid w:val="6A973B65"/>
    <w:rsid w:val="6AA1719E"/>
    <w:rsid w:val="6BC57F00"/>
    <w:rsid w:val="6C522441"/>
    <w:rsid w:val="6D136580"/>
    <w:rsid w:val="6D991CDC"/>
    <w:rsid w:val="6E7716CA"/>
    <w:rsid w:val="6EBC10DE"/>
    <w:rsid w:val="6ED65071"/>
    <w:rsid w:val="6FFD4051"/>
    <w:rsid w:val="705E3AE9"/>
    <w:rsid w:val="716C0423"/>
    <w:rsid w:val="72430486"/>
    <w:rsid w:val="72BB0ABC"/>
    <w:rsid w:val="73326672"/>
    <w:rsid w:val="738C30F5"/>
    <w:rsid w:val="73B32483"/>
    <w:rsid w:val="756248E8"/>
    <w:rsid w:val="765406AD"/>
    <w:rsid w:val="77435591"/>
    <w:rsid w:val="77F16AAE"/>
    <w:rsid w:val="78503C75"/>
    <w:rsid w:val="78723582"/>
    <w:rsid w:val="78F227FE"/>
    <w:rsid w:val="791B6477"/>
    <w:rsid w:val="79510913"/>
    <w:rsid w:val="79955570"/>
    <w:rsid w:val="7D896051"/>
    <w:rsid w:val="7E456BA8"/>
    <w:rsid w:val="7EAA75AA"/>
    <w:rsid w:val="7F4C2039"/>
    <w:rsid w:val="7FB57FF5"/>
    <w:rsid w:val="7FFC1236"/>
    <w:rsid w:val="B7DB4A39"/>
    <w:rsid w:val="FEC2A8B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1"/>
    <w:unhideWhenUsed/>
    <w:qFormat/>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7">
    <w:name w:val="annotation subject"/>
    <w:basedOn w:val="2"/>
    <w:next w:val="2"/>
    <w:link w:val="22"/>
    <w:semiHidden/>
    <w:unhideWhenUsed/>
    <w:qFormat/>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postbody"/>
    <w:qFormat/>
    <w:uiPriority w:val="0"/>
  </w:style>
  <w:style w:type="paragraph" w:customStyle="1" w:styleId="15">
    <w:name w:val="章标题"/>
    <w:next w:val="16"/>
    <w:qFormat/>
    <w:uiPriority w:val="0"/>
    <w:pPr>
      <w:spacing w:before="50" w:after="50"/>
      <w:jc w:val="both"/>
      <w:outlineLvl w:val="1"/>
    </w:pPr>
    <w:rPr>
      <w:rFonts w:ascii="黑体" w:hAnsi="Times New Roman" w:eastAsia="黑体" w:cs="Times New Roman"/>
      <w:sz w:val="21"/>
      <w:lang w:val="en-US" w:eastAsia="zh-CN" w:bidi="ar-SA"/>
    </w:rPr>
  </w:style>
  <w:style w:type="paragraph" w:customStyle="1" w:styleId="1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7">
    <w:name w:val="批注框文本 字符"/>
    <w:basedOn w:val="10"/>
    <w:link w:val="3"/>
    <w:semiHidden/>
    <w:qFormat/>
    <w:uiPriority w:val="99"/>
    <w:rPr>
      <w:rFonts w:ascii="Times New Roman" w:hAnsi="Times New Roman" w:eastAsia="宋体" w:cs="Times New Roman"/>
      <w:sz w:val="18"/>
      <w:szCs w:val="18"/>
    </w:rPr>
  </w:style>
  <w:style w:type="character" w:styleId="18">
    <w:name w:val="Placeholder Text"/>
    <w:basedOn w:val="10"/>
    <w:semiHidden/>
    <w:qFormat/>
    <w:uiPriority w:val="99"/>
    <w:rPr>
      <w:color w:val="808080"/>
    </w:rPr>
  </w:style>
  <w:style w:type="paragraph" w:styleId="19">
    <w:name w:val="List Paragraph"/>
    <w:basedOn w:val="1"/>
    <w:qFormat/>
    <w:uiPriority w:val="99"/>
    <w:pPr>
      <w:ind w:firstLine="420" w:firstLineChars="200"/>
    </w:pPr>
  </w:style>
  <w:style w:type="paragraph" w:customStyle="1" w:styleId="20">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1">
    <w:name w:val="批注文字 字符"/>
    <w:basedOn w:val="10"/>
    <w:link w:val="2"/>
    <w:qFormat/>
    <w:uiPriority w:val="99"/>
    <w:rPr>
      <w:rFonts w:ascii="Times New Roman" w:hAnsi="Times New Roman" w:eastAsia="宋体" w:cs="Times New Roman"/>
      <w:kern w:val="2"/>
      <w:sz w:val="21"/>
      <w:szCs w:val="24"/>
    </w:rPr>
  </w:style>
  <w:style w:type="character" w:customStyle="1" w:styleId="22">
    <w:name w:val="批注主题 字符"/>
    <w:basedOn w:val="21"/>
    <w:link w:val="7"/>
    <w:semiHidden/>
    <w:qFormat/>
    <w:uiPriority w:val="99"/>
    <w:rPr>
      <w:rFonts w:ascii="Times New Roman" w:hAnsi="Times New Roman" w:eastAsia="宋体" w:cs="Times New Roman"/>
      <w:b/>
      <w:bCs/>
      <w:kern w:val="2"/>
      <w:sz w:val="21"/>
      <w:szCs w:val="24"/>
    </w:rPr>
  </w:style>
  <w:style w:type="table" w:customStyle="1" w:styleId="23">
    <w:name w:val="网格型1"/>
    <w:basedOn w:val="8"/>
    <w:qFormat/>
    <w:uiPriority w:val="0"/>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FB39A577-BB5E-413C-ACBF-441578279BFE}">
  <ds:schemaRefs/>
</ds:datastoreItem>
</file>

<file path=docProps/app.xml><?xml version="1.0" encoding="utf-8"?>
<Properties xmlns="http://schemas.openxmlformats.org/officeDocument/2006/extended-properties" xmlns:vt="http://schemas.openxmlformats.org/officeDocument/2006/docPropsVTypes">
  <Template>Normal.dotm</Template>
  <Company>CFDA</Company>
  <Pages>7</Pages>
  <Words>1909</Words>
  <Characters>2239</Characters>
  <Lines>33</Lines>
  <Paragraphs>9</Paragraphs>
  <TotalTime>50</TotalTime>
  <ScaleCrop>false</ScaleCrop>
  <LinksUpToDate>false</LinksUpToDate>
  <CharactersWithSpaces>2459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2026-07-29T13:32:00Z</dcterms:created>
  <dc:creator>耿欣</dc:creator>
  <cp:lastModifiedBy>黄湘鹭</cp:lastModifiedBy>
  <cp:lastPrinted>2024-09-17T13:22:00Z</cp:lastPrinted>
  <dcterms:modified xsi:type="dcterms:W3CDTF">2026-08-04T02:55:30Z</dcterms:modified>
  <cp:revision>150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1F07B1981F204B5C88E812306C1D3A3E_12</vt:lpwstr>
  </property>
  <property fmtid="{D5CDD505-2E9C-101B-9397-08002B2CF9AE}" pid="4" name="KSOTemplateDocerSaveRecord">
    <vt:lpwstr>eyJoZGlkIjoiMzc5ZTU2MThkNmRiZDhiYTk2MzdjZDYxYTYzNzRmY2MiLCJ1c2VySWQiOiI0MDU1NDk1NzYifQ==</vt:lpwstr>
  </property>
</Properties>
</file>